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5E6" w:rsidRPr="001805E6" w:rsidRDefault="001805E6" w:rsidP="001805E6">
      <w:pPr>
        <w:spacing w:after="0" w:line="240" w:lineRule="auto"/>
        <w:jc w:val="center"/>
        <w:rPr>
          <w:rFonts w:ascii="Arial" w:eastAsia="Calibri" w:hAnsi="Arial" w:cs="Arial"/>
          <w:b/>
          <w:sz w:val="20"/>
          <w:szCs w:val="20"/>
        </w:rPr>
      </w:pPr>
      <w:r w:rsidRPr="001805E6">
        <w:rPr>
          <w:rFonts w:ascii="Arial" w:eastAsia="Calibri" w:hAnsi="Arial" w:cs="Arial"/>
          <w:b/>
          <w:sz w:val="20"/>
          <w:szCs w:val="20"/>
        </w:rPr>
        <w:t>ANEXO 2</w:t>
      </w:r>
    </w:p>
    <w:p w:rsidR="001805E6" w:rsidRPr="001805E6" w:rsidRDefault="001805E6" w:rsidP="001805E6">
      <w:pPr>
        <w:spacing w:after="0" w:line="240" w:lineRule="auto"/>
        <w:jc w:val="center"/>
        <w:rPr>
          <w:rFonts w:ascii="Arial" w:eastAsia="Calibri" w:hAnsi="Arial" w:cs="Arial"/>
          <w:b/>
          <w:sz w:val="20"/>
          <w:szCs w:val="20"/>
        </w:rPr>
      </w:pPr>
      <w:r w:rsidRPr="001805E6">
        <w:rPr>
          <w:rFonts w:ascii="Arial" w:eastAsia="Calibri" w:hAnsi="Arial" w:cs="Arial"/>
          <w:b/>
          <w:sz w:val="20"/>
          <w:szCs w:val="20"/>
        </w:rPr>
        <w:t xml:space="preserve">ANEXO TÉCNICO </w:t>
      </w:r>
    </w:p>
    <w:p w:rsidR="001805E6" w:rsidRPr="001805E6" w:rsidRDefault="001805E6" w:rsidP="001805E6">
      <w:pPr>
        <w:spacing w:after="0" w:line="240" w:lineRule="auto"/>
        <w:jc w:val="center"/>
        <w:rPr>
          <w:rFonts w:ascii="Arial" w:eastAsia="Calibri" w:hAnsi="Arial" w:cs="Arial"/>
          <w:b/>
          <w:sz w:val="20"/>
          <w:szCs w:val="20"/>
        </w:rPr>
      </w:pPr>
      <w:r w:rsidRPr="001805E6">
        <w:rPr>
          <w:rFonts w:ascii="Arial" w:eastAsia="Calibri" w:hAnsi="Arial" w:cs="Arial"/>
          <w:b/>
          <w:sz w:val="20"/>
          <w:szCs w:val="20"/>
        </w:rPr>
        <w:t xml:space="preserve">(4.18.3 de las POBALINES) </w:t>
      </w:r>
    </w:p>
    <w:p w:rsidR="001805E6" w:rsidRPr="001805E6" w:rsidRDefault="001805E6" w:rsidP="001805E6">
      <w:pPr>
        <w:spacing w:after="0" w:line="240" w:lineRule="auto"/>
        <w:jc w:val="center"/>
        <w:rPr>
          <w:rFonts w:ascii="Arial" w:eastAsia="Calibri" w:hAnsi="Arial" w:cs="Arial"/>
          <w:b/>
          <w:sz w:val="10"/>
          <w:szCs w:val="20"/>
        </w:rPr>
      </w:pPr>
    </w:p>
    <w:p w:rsidR="001805E6" w:rsidRPr="001805E6" w:rsidRDefault="001805E6" w:rsidP="001805E6">
      <w:pPr>
        <w:spacing w:after="0" w:line="240" w:lineRule="auto"/>
        <w:jc w:val="both"/>
        <w:rPr>
          <w:rFonts w:ascii="Arial" w:eastAsia="Calibri" w:hAnsi="Arial" w:cs="Arial"/>
          <w:b/>
          <w:sz w:val="20"/>
          <w:szCs w:val="20"/>
        </w:rPr>
      </w:pPr>
    </w:p>
    <w:p w:rsidR="001805E6" w:rsidRPr="001805E6" w:rsidRDefault="001805E6" w:rsidP="001805E6">
      <w:pPr>
        <w:spacing w:after="0" w:line="240" w:lineRule="auto"/>
        <w:jc w:val="both"/>
        <w:rPr>
          <w:rFonts w:ascii="Arial" w:eastAsia="Calibri" w:hAnsi="Arial" w:cs="Arial"/>
          <w:b/>
          <w:sz w:val="20"/>
          <w:szCs w:val="20"/>
        </w:rPr>
      </w:pPr>
      <w:r w:rsidRPr="001805E6">
        <w:rPr>
          <w:rFonts w:ascii="Arial" w:eastAsia="Calibri" w:hAnsi="Arial" w:cs="Arial"/>
          <w:b/>
          <w:sz w:val="20"/>
          <w:szCs w:val="20"/>
        </w:rPr>
        <w:t>Información que de conformidad con los incisos del numeral antes señalado de las Políticas, Bases y Lineamientos en Materia de Adquisiciones, Arrendamientos y Prestación de Servicios del Instituto Mexicano del Seguro Social, deberá contener el presente documento:</w:t>
      </w:r>
    </w:p>
    <w:p w:rsidR="001805E6" w:rsidRPr="001805E6" w:rsidRDefault="001805E6" w:rsidP="001805E6">
      <w:pPr>
        <w:spacing w:after="0" w:line="240" w:lineRule="auto"/>
        <w:jc w:val="both"/>
        <w:rPr>
          <w:rFonts w:ascii="Arial" w:eastAsia="Calibri" w:hAnsi="Arial" w:cs="Arial"/>
          <w:b/>
          <w:sz w:val="20"/>
          <w:szCs w:val="20"/>
        </w:rPr>
      </w:pPr>
    </w:p>
    <w:p w:rsidR="001805E6" w:rsidRPr="001805E6" w:rsidRDefault="001805E6" w:rsidP="001805E6">
      <w:pPr>
        <w:numPr>
          <w:ilvl w:val="0"/>
          <w:numId w:val="1"/>
        </w:numPr>
        <w:spacing w:after="0" w:line="240" w:lineRule="auto"/>
        <w:contextualSpacing/>
        <w:jc w:val="both"/>
        <w:rPr>
          <w:rFonts w:ascii="Arial" w:eastAsia="Calibri" w:hAnsi="Arial" w:cs="Arial"/>
          <w:b/>
          <w:sz w:val="20"/>
          <w:szCs w:val="20"/>
          <w:lang w:val="x-none" w:eastAsia="es-ES"/>
        </w:rPr>
      </w:pPr>
      <w:r w:rsidRPr="001805E6">
        <w:rPr>
          <w:rFonts w:ascii="Arial" w:eastAsia="Calibri" w:hAnsi="Arial" w:cs="Arial"/>
          <w:b/>
          <w:sz w:val="20"/>
          <w:szCs w:val="20"/>
          <w:lang w:val="x-none" w:eastAsia="es-ES"/>
        </w:rPr>
        <w:t>Descripción amplia y detallada de los bienes</w:t>
      </w:r>
      <w:r w:rsidRPr="001805E6">
        <w:rPr>
          <w:rFonts w:ascii="Arial" w:eastAsia="Calibri" w:hAnsi="Arial" w:cs="Arial"/>
          <w:b/>
          <w:sz w:val="20"/>
          <w:szCs w:val="20"/>
          <w:lang w:eastAsia="es-ES"/>
        </w:rPr>
        <w:t>.</w:t>
      </w:r>
    </w:p>
    <w:p w:rsidR="001805E6" w:rsidRPr="001805E6" w:rsidRDefault="001805E6" w:rsidP="001805E6">
      <w:pPr>
        <w:spacing w:after="0" w:line="240" w:lineRule="auto"/>
        <w:jc w:val="both"/>
        <w:rPr>
          <w:rFonts w:ascii="Arial" w:eastAsia="Calibri" w:hAnsi="Arial" w:cs="Arial"/>
          <w:sz w:val="20"/>
          <w:szCs w:val="20"/>
        </w:rPr>
      </w:pPr>
    </w:p>
    <w:p w:rsidR="001805E6" w:rsidRPr="001D076D" w:rsidRDefault="001805E6" w:rsidP="001805E6">
      <w:pPr>
        <w:spacing w:after="0" w:line="240" w:lineRule="auto"/>
        <w:jc w:val="both"/>
        <w:rPr>
          <w:rFonts w:ascii="Arial" w:eastAsia="Calibri" w:hAnsi="Arial" w:cs="Arial"/>
          <w:sz w:val="20"/>
          <w:szCs w:val="20"/>
          <w:lang w:val="es-ES"/>
        </w:rPr>
      </w:pPr>
      <w:r w:rsidRPr="001D076D">
        <w:rPr>
          <w:rFonts w:ascii="Arial" w:eastAsia="Calibri" w:hAnsi="Arial" w:cs="Arial"/>
          <w:sz w:val="20"/>
          <w:szCs w:val="20"/>
        </w:rPr>
        <w:t xml:space="preserve">Corresponde a la </w:t>
      </w:r>
      <w:r w:rsidR="001D076D" w:rsidRPr="001D076D">
        <w:rPr>
          <w:rFonts w:ascii="Arial" w:hAnsi="Arial" w:cs="Arial"/>
          <w:b/>
          <w:sz w:val="20"/>
          <w:szCs w:val="20"/>
        </w:rPr>
        <w:t xml:space="preserve">compra de claves del grupo 020 Vacunas, Toxoides, Inmunoglobulinas, Antitoxinas, </w:t>
      </w:r>
      <w:proofErr w:type="spellStart"/>
      <w:r w:rsidR="001D076D" w:rsidRPr="001D076D">
        <w:rPr>
          <w:rFonts w:ascii="Arial" w:hAnsi="Arial" w:cs="Arial"/>
          <w:b/>
          <w:sz w:val="20"/>
          <w:szCs w:val="20"/>
        </w:rPr>
        <w:t>Faboterápicos</w:t>
      </w:r>
      <w:proofErr w:type="spellEnd"/>
      <w:r w:rsidR="001D076D" w:rsidRPr="001D076D">
        <w:rPr>
          <w:rFonts w:ascii="Arial" w:hAnsi="Arial" w:cs="Arial"/>
          <w:b/>
          <w:sz w:val="20"/>
          <w:szCs w:val="20"/>
        </w:rPr>
        <w:t>, relativos a la Compra Consolidada del ejercicio fiscal 2018.</w:t>
      </w:r>
    </w:p>
    <w:p w:rsidR="00383663" w:rsidRDefault="00383663" w:rsidP="00383663">
      <w:pPr>
        <w:autoSpaceDE w:val="0"/>
        <w:autoSpaceDN w:val="0"/>
        <w:adjustRightInd w:val="0"/>
        <w:spacing w:after="0" w:line="240" w:lineRule="auto"/>
        <w:ind w:left="708"/>
        <w:jc w:val="both"/>
        <w:rPr>
          <w:rFonts w:ascii="Arial" w:eastAsia="Calibri" w:hAnsi="Arial" w:cs="Arial"/>
          <w:i/>
          <w:sz w:val="11"/>
          <w:szCs w:val="11"/>
        </w:rPr>
      </w:pPr>
    </w:p>
    <w:tbl>
      <w:tblPr>
        <w:tblW w:w="10959" w:type="dxa"/>
        <w:tblInd w:w="-497" w:type="dxa"/>
        <w:tblCellMar>
          <w:left w:w="70" w:type="dxa"/>
          <w:right w:w="70" w:type="dxa"/>
        </w:tblCellMar>
        <w:tblLook w:val="04A0" w:firstRow="1" w:lastRow="0" w:firstColumn="1" w:lastColumn="0" w:noHBand="0" w:noVBand="1"/>
      </w:tblPr>
      <w:tblGrid>
        <w:gridCol w:w="362"/>
        <w:gridCol w:w="355"/>
        <w:gridCol w:w="384"/>
        <w:gridCol w:w="303"/>
        <w:gridCol w:w="352"/>
        <w:gridCol w:w="4011"/>
        <w:gridCol w:w="1871"/>
        <w:gridCol w:w="345"/>
        <w:gridCol w:w="415"/>
        <w:gridCol w:w="377"/>
        <w:gridCol w:w="1092"/>
        <w:gridCol w:w="1092"/>
      </w:tblGrid>
      <w:tr w:rsidR="003151C1" w:rsidRPr="003151C1" w:rsidTr="003151C1">
        <w:trPr>
          <w:trHeight w:val="562"/>
        </w:trPr>
        <w:tc>
          <w:tcPr>
            <w:tcW w:w="0" w:type="auto"/>
            <w:tcBorders>
              <w:top w:val="single" w:sz="4" w:space="0" w:color="auto"/>
              <w:left w:val="single" w:sz="4" w:space="0" w:color="auto"/>
              <w:bottom w:val="nil"/>
              <w:right w:val="single" w:sz="4" w:space="0" w:color="auto"/>
            </w:tcBorders>
            <w:shd w:val="clear" w:color="auto" w:fill="0F243E" w:themeFill="text2" w:themeFillShade="80"/>
            <w:noWrap/>
            <w:vAlign w:val="center"/>
            <w:hideMark/>
          </w:tcPr>
          <w:p w:rsidR="003151C1" w:rsidRPr="001D076D" w:rsidRDefault="003151C1" w:rsidP="003151C1">
            <w:pPr>
              <w:spacing w:after="0" w:line="240" w:lineRule="auto"/>
              <w:jc w:val="center"/>
              <w:rPr>
                <w:rFonts w:eastAsia="Times New Roman" w:cs="Arial"/>
                <w:b/>
                <w:color w:val="FFFFFF" w:themeColor="background1"/>
                <w:sz w:val="12"/>
                <w:szCs w:val="12"/>
                <w:lang w:eastAsia="es-MX"/>
              </w:rPr>
            </w:pPr>
            <w:r w:rsidRPr="003151C1">
              <w:rPr>
                <w:rFonts w:eastAsia="Times New Roman" w:cs="Arial"/>
                <w:b/>
                <w:color w:val="FFFFFF" w:themeColor="background1"/>
                <w:sz w:val="12"/>
                <w:szCs w:val="12"/>
                <w:lang w:eastAsia="es-MX"/>
              </w:rPr>
              <w:t>GPO</w:t>
            </w:r>
          </w:p>
        </w:tc>
        <w:tc>
          <w:tcPr>
            <w:tcW w:w="0" w:type="auto"/>
            <w:tcBorders>
              <w:top w:val="single" w:sz="4" w:space="0" w:color="auto"/>
              <w:left w:val="nil"/>
              <w:bottom w:val="nil"/>
              <w:right w:val="single" w:sz="4" w:space="0" w:color="auto"/>
            </w:tcBorders>
            <w:shd w:val="clear" w:color="auto" w:fill="0F243E" w:themeFill="text2" w:themeFillShade="80"/>
            <w:noWrap/>
            <w:vAlign w:val="center"/>
            <w:hideMark/>
          </w:tcPr>
          <w:p w:rsidR="003151C1" w:rsidRPr="001D076D" w:rsidRDefault="003151C1" w:rsidP="003151C1">
            <w:pPr>
              <w:spacing w:after="0" w:line="240" w:lineRule="auto"/>
              <w:jc w:val="center"/>
              <w:rPr>
                <w:rFonts w:eastAsia="Times New Roman" w:cs="Arial"/>
                <w:b/>
                <w:color w:val="FFFFFF" w:themeColor="background1"/>
                <w:sz w:val="12"/>
                <w:szCs w:val="12"/>
                <w:lang w:eastAsia="es-MX"/>
              </w:rPr>
            </w:pPr>
            <w:r w:rsidRPr="003151C1">
              <w:rPr>
                <w:rFonts w:eastAsia="Times New Roman" w:cs="Arial"/>
                <w:b/>
                <w:color w:val="FFFFFF" w:themeColor="background1"/>
                <w:sz w:val="12"/>
                <w:szCs w:val="12"/>
                <w:lang w:eastAsia="es-MX"/>
              </w:rPr>
              <w:t>GEN</w:t>
            </w:r>
          </w:p>
        </w:tc>
        <w:tc>
          <w:tcPr>
            <w:tcW w:w="0" w:type="auto"/>
            <w:tcBorders>
              <w:top w:val="single" w:sz="4" w:space="0" w:color="auto"/>
              <w:left w:val="nil"/>
              <w:bottom w:val="nil"/>
              <w:right w:val="single" w:sz="4" w:space="0" w:color="auto"/>
            </w:tcBorders>
            <w:shd w:val="clear" w:color="auto" w:fill="0F243E" w:themeFill="text2" w:themeFillShade="80"/>
            <w:noWrap/>
            <w:vAlign w:val="center"/>
            <w:hideMark/>
          </w:tcPr>
          <w:p w:rsidR="003151C1" w:rsidRPr="001D076D" w:rsidRDefault="003151C1" w:rsidP="003151C1">
            <w:pPr>
              <w:spacing w:after="0" w:line="240" w:lineRule="auto"/>
              <w:jc w:val="center"/>
              <w:rPr>
                <w:rFonts w:eastAsia="Times New Roman" w:cs="Arial"/>
                <w:b/>
                <w:color w:val="FFFFFF" w:themeColor="background1"/>
                <w:sz w:val="12"/>
                <w:szCs w:val="12"/>
                <w:lang w:eastAsia="es-MX"/>
              </w:rPr>
            </w:pPr>
            <w:r w:rsidRPr="003151C1">
              <w:rPr>
                <w:rFonts w:eastAsia="Times New Roman" w:cs="Arial"/>
                <w:b/>
                <w:color w:val="FFFFFF" w:themeColor="background1"/>
                <w:sz w:val="12"/>
                <w:szCs w:val="12"/>
                <w:lang w:eastAsia="es-MX"/>
              </w:rPr>
              <w:t>ESP</w:t>
            </w:r>
          </w:p>
        </w:tc>
        <w:tc>
          <w:tcPr>
            <w:tcW w:w="0" w:type="auto"/>
            <w:tcBorders>
              <w:top w:val="single" w:sz="4" w:space="0" w:color="auto"/>
              <w:left w:val="nil"/>
              <w:bottom w:val="nil"/>
              <w:right w:val="single" w:sz="4" w:space="0" w:color="auto"/>
            </w:tcBorders>
            <w:shd w:val="clear" w:color="auto" w:fill="0F243E" w:themeFill="text2" w:themeFillShade="80"/>
            <w:noWrap/>
            <w:vAlign w:val="center"/>
            <w:hideMark/>
          </w:tcPr>
          <w:p w:rsidR="003151C1" w:rsidRPr="001D076D" w:rsidRDefault="003151C1" w:rsidP="003151C1">
            <w:pPr>
              <w:spacing w:after="0" w:line="240" w:lineRule="auto"/>
              <w:jc w:val="center"/>
              <w:rPr>
                <w:rFonts w:eastAsia="Times New Roman" w:cs="Arial"/>
                <w:b/>
                <w:color w:val="FFFFFF" w:themeColor="background1"/>
                <w:sz w:val="12"/>
                <w:szCs w:val="12"/>
                <w:lang w:eastAsia="es-MX"/>
              </w:rPr>
            </w:pPr>
            <w:r w:rsidRPr="003151C1">
              <w:rPr>
                <w:rFonts w:eastAsia="Times New Roman" w:cs="Arial"/>
                <w:b/>
                <w:color w:val="FFFFFF" w:themeColor="background1"/>
                <w:sz w:val="12"/>
                <w:szCs w:val="12"/>
                <w:lang w:eastAsia="es-MX"/>
              </w:rPr>
              <w:t>DIF</w:t>
            </w:r>
          </w:p>
        </w:tc>
        <w:tc>
          <w:tcPr>
            <w:tcW w:w="0" w:type="auto"/>
            <w:tcBorders>
              <w:top w:val="single" w:sz="4" w:space="0" w:color="auto"/>
              <w:left w:val="nil"/>
              <w:bottom w:val="nil"/>
              <w:right w:val="single" w:sz="4" w:space="0" w:color="auto"/>
            </w:tcBorders>
            <w:shd w:val="clear" w:color="auto" w:fill="0F243E" w:themeFill="text2" w:themeFillShade="80"/>
            <w:noWrap/>
            <w:vAlign w:val="center"/>
            <w:hideMark/>
          </w:tcPr>
          <w:p w:rsidR="003151C1" w:rsidRPr="001D076D" w:rsidRDefault="003151C1" w:rsidP="003151C1">
            <w:pPr>
              <w:spacing w:after="0" w:line="240" w:lineRule="auto"/>
              <w:jc w:val="center"/>
              <w:rPr>
                <w:rFonts w:eastAsia="Times New Roman" w:cs="Arial"/>
                <w:b/>
                <w:color w:val="FFFFFF" w:themeColor="background1"/>
                <w:sz w:val="12"/>
                <w:szCs w:val="12"/>
                <w:lang w:eastAsia="es-MX"/>
              </w:rPr>
            </w:pPr>
            <w:r w:rsidRPr="003151C1">
              <w:rPr>
                <w:rFonts w:eastAsia="Times New Roman" w:cs="Arial"/>
                <w:b/>
                <w:color w:val="FFFFFF" w:themeColor="background1"/>
                <w:sz w:val="12"/>
                <w:szCs w:val="12"/>
                <w:lang w:eastAsia="es-MX"/>
              </w:rPr>
              <w:t>VAR</w:t>
            </w:r>
          </w:p>
        </w:tc>
        <w:tc>
          <w:tcPr>
            <w:tcW w:w="4011" w:type="dxa"/>
            <w:tcBorders>
              <w:top w:val="single" w:sz="4" w:space="0" w:color="auto"/>
              <w:left w:val="nil"/>
              <w:bottom w:val="nil"/>
              <w:right w:val="single" w:sz="4" w:space="0" w:color="auto"/>
            </w:tcBorders>
            <w:shd w:val="clear" w:color="auto" w:fill="0F243E" w:themeFill="text2" w:themeFillShade="80"/>
            <w:noWrap/>
            <w:vAlign w:val="center"/>
            <w:hideMark/>
          </w:tcPr>
          <w:p w:rsidR="003151C1" w:rsidRPr="001D076D" w:rsidRDefault="003151C1" w:rsidP="003151C1">
            <w:pPr>
              <w:spacing w:after="0" w:line="240" w:lineRule="auto"/>
              <w:jc w:val="center"/>
              <w:rPr>
                <w:rFonts w:eastAsia="Times New Roman" w:cs="Arial"/>
                <w:b/>
                <w:color w:val="FFFFFF" w:themeColor="background1"/>
                <w:sz w:val="12"/>
                <w:szCs w:val="12"/>
                <w:lang w:eastAsia="es-MX"/>
              </w:rPr>
            </w:pPr>
            <w:r w:rsidRPr="003151C1">
              <w:rPr>
                <w:rFonts w:eastAsia="Times New Roman" w:cs="Arial"/>
                <w:b/>
                <w:color w:val="FFFFFF" w:themeColor="background1"/>
                <w:sz w:val="12"/>
                <w:szCs w:val="12"/>
                <w:lang w:eastAsia="es-MX"/>
              </w:rPr>
              <w:t>DESCRIPCIÓN</w:t>
            </w:r>
          </w:p>
        </w:tc>
        <w:tc>
          <w:tcPr>
            <w:tcW w:w="0" w:type="auto"/>
            <w:tcBorders>
              <w:top w:val="single" w:sz="4" w:space="0" w:color="auto"/>
              <w:left w:val="nil"/>
              <w:bottom w:val="nil"/>
              <w:right w:val="single" w:sz="4" w:space="0" w:color="auto"/>
            </w:tcBorders>
            <w:shd w:val="clear" w:color="auto" w:fill="0F243E" w:themeFill="text2" w:themeFillShade="80"/>
            <w:noWrap/>
            <w:vAlign w:val="center"/>
            <w:hideMark/>
          </w:tcPr>
          <w:p w:rsidR="003151C1" w:rsidRPr="001D076D" w:rsidRDefault="003151C1" w:rsidP="003151C1">
            <w:pPr>
              <w:spacing w:after="0" w:line="240" w:lineRule="auto"/>
              <w:jc w:val="center"/>
              <w:rPr>
                <w:rFonts w:eastAsia="Times New Roman" w:cs="Arial"/>
                <w:b/>
                <w:color w:val="FFFFFF" w:themeColor="background1"/>
                <w:sz w:val="12"/>
                <w:szCs w:val="12"/>
                <w:lang w:eastAsia="es-MX"/>
              </w:rPr>
            </w:pPr>
            <w:r w:rsidRPr="003151C1">
              <w:rPr>
                <w:rFonts w:eastAsia="Times New Roman" w:cs="Arial"/>
                <w:b/>
                <w:color w:val="FFFFFF" w:themeColor="background1"/>
                <w:sz w:val="12"/>
                <w:szCs w:val="12"/>
                <w:lang w:eastAsia="es-MX"/>
              </w:rPr>
              <w:t>PRESENTACIÓN</w:t>
            </w:r>
          </w:p>
        </w:tc>
        <w:tc>
          <w:tcPr>
            <w:tcW w:w="0" w:type="auto"/>
            <w:tcBorders>
              <w:top w:val="single" w:sz="4" w:space="0" w:color="auto"/>
              <w:left w:val="nil"/>
              <w:bottom w:val="nil"/>
              <w:right w:val="single" w:sz="4" w:space="0" w:color="auto"/>
            </w:tcBorders>
            <w:shd w:val="clear" w:color="auto" w:fill="0F243E" w:themeFill="text2" w:themeFillShade="80"/>
            <w:vAlign w:val="center"/>
            <w:hideMark/>
          </w:tcPr>
          <w:p w:rsidR="003151C1" w:rsidRPr="001D076D" w:rsidRDefault="003151C1" w:rsidP="003151C1">
            <w:pPr>
              <w:spacing w:after="0" w:line="240" w:lineRule="auto"/>
              <w:jc w:val="center"/>
              <w:rPr>
                <w:rFonts w:eastAsia="Times New Roman" w:cs="Arial"/>
                <w:b/>
                <w:color w:val="FFFFFF" w:themeColor="background1"/>
                <w:sz w:val="12"/>
                <w:szCs w:val="12"/>
                <w:lang w:eastAsia="es-MX"/>
              </w:rPr>
            </w:pPr>
            <w:r w:rsidRPr="003151C1">
              <w:rPr>
                <w:rFonts w:eastAsia="Times New Roman" w:cs="Arial"/>
                <w:b/>
                <w:color w:val="FFFFFF" w:themeColor="background1"/>
                <w:sz w:val="12"/>
                <w:szCs w:val="12"/>
                <w:lang w:eastAsia="es-MX"/>
              </w:rPr>
              <w:t>UNI</w:t>
            </w:r>
          </w:p>
        </w:tc>
        <w:tc>
          <w:tcPr>
            <w:tcW w:w="0" w:type="auto"/>
            <w:tcBorders>
              <w:top w:val="single" w:sz="4" w:space="0" w:color="auto"/>
              <w:left w:val="nil"/>
              <w:bottom w:val="nil"/>
              <w:right w:val="single" w:sz="4" w:space="0" w:color="auto"/>
            </w:tcBorders>
            <w:shd w:val="clear" w:color="auto" w:fill="0F243E" w:themeFill="text2" w:themeFillShade="80"/>
            <w:vAlign w:val="center"/>
            <w:hideMark/>
          </w:tcPr>
          <w:p w:rsidR="003151C1" w:rsidRPr="001D076D" w:rsidRDefault="003151C1" w:rsidP="003151C1">
            <w:pPr>
              <w:spacing w:after="0" w:line="240" w:lineRule="auto"/>
              <w:jc w:val="center"/>
              <w:rPr>
                <w:rFonts w:eastAsia="Times New Roman" w:cs="Arial"/>
                <w:b/>
                <w:color w:val="FFFFFF" w:themeColor="background1"/>
                <w:sz w:val="12"/>
                <w:szCs w:val="12"/>
                <w:lang w:eastAsia="es-MX"/>
              </w:rPr>
            </w:pPr>
            <w:r w:rsidRPr="003151C1">
              <w:rPr>
                <w:rFonts w:eastAsia="Times New Roman" w:cs="Arial"/>
                <w:b/>
                <w:color w:val="FFFFFF" w:themeColor="background1"/>
                <w:sz w:val="12"/>
                <w:szCs w:val="12"/>
                <w:lang w:eastAsia="es-MX"/>
              </w:rPr>
              <w:t>CANT</w:t>
            </w:r>
          </w:p>
        </w:tc>
        <w:tc>
          <w:tcPr>
            <w:tcW w:w="0" w:type="auto"/>
            <w:tcBorders>
              <w:top w:val="single" w:sz="4" w:space="0" w:color="auto"/>
              <w:left w:val="nil"/>
              <w:bottom w:val="nil"/>
              <w:right w:val="single" w:sz="4" w:space="0" w:color="auto"/>
            </w:tcBorders>
            <w:shd w:val="clear" w:color="auto" w:fill="0F243E" w:themeFill="text2" w:themeFillShade="80"/>
            <w:vAlign w:val="center"/>
            <w:hideMark/>
          </w:tcPr>
          <w:p w:rsidR="003151C1" w:rsidRPr="001D076D" w:rsidRDefault="003151C1" w:rsidP="003151C1">
            <w:pPr>
              <w:spacing w:after="0" w:line="240" w:lineRule="auto"/>
              <w:jc w:val="center"/>
              <w:rPr>
                <w:rFonts w:eastAsia="Times New Roman" w:cs="Arial"/>
                <w:b/>
                <w:color w:val="FFFFFF" w:themeColor="background1"/>
                <w:sz w:val="12"/>
                <w:szCs w:val="12"/>
                <w:lang w:eastAsia="es-MX"/>
              </w:rPr>
            </w:pPr>
            <w:r w:rsidRPr="003151C1">
              <w:rPr>
                <w:rFonts w:eastAsia="Times New Roman" w:cs="Arial"/>
                <w:b/>
                <w:color w:val="FFFFFF" w:themeColor="background1"/>
                <w:sz w:val="12"/>
                <w:szCs w:val="12"/>
                <w:lang w:eastAsia="es-MX"/>
              </w:rPr>
              <w:t>TIPO</w:t>
            </w:r>
          </w:p>
        </w:tc>
        <w:tc>
          <w:tcPr>
            <w:tcW w:w="1092" w:type="dxa"/>
            <w:tcBorders>
              <w:top w:val="single" w:sz="4" w:space="0" w:color="auto"/>
              <w:left w:val="nil"/>
              <w:bottom w:val="nil"/>
              <w:right w:val="single" w:sz="4" w:space="0" w:color="auto"/>
            </w:tcBorders>
            <w:shd w:val="clear" w:color="auto" w:fill="0F243E" w:themeFill="text2" w:themeFillShade="80"/>
            <w:vAlign w:val="center"/>
            <w:hideMark/>
          </w:tcPr>
          <w:p w:rsidR="003151C1" w:rsidRPr="001D076D" w:rsidRDefault="003151C1" w:rsidP="003151C1">
            <w:pPr>
              <w:spacing w:after="0" w:line="240" w:lineRule="auto"/>
              <w:jc w:val="center"/>
              <w:rPr>
                <w:rFonts w:eastAsia="Times New Roman" w:cs="Arial"/>
                <w:b/>
                <w:bCs/>
                <w:color w:val="FFFFFF" w:themeColor="background1"/>
                <w:sz w:val="12"/>
                <w:szCs w:val="12"/>
                <w:lang w:eastAsia="es-MX"/>
              </w:rPr>
            </w:pPr>
            <w:r w:rsidRPr="003151C1">
              <w:rPr>
                <w:rFonts w:eastAsia="Times New Roman" w:cs="Arial"/>
                <w:b/>
                <w:bCs/>
                <w:color w:val="FFFFFF" w:themeColor="background1"/>
                <w:sz w:val="12"/>
                <w:szCs w:val="12"/>
                <w:lang w:eastAsia="es-MX"/>
              </w:rPr>
              <w:t>CANT DOSIS</w:t>
            </w:r>
          </w:p>
        </w:tc>
        <w:tc>
          <w:tcPr>
            <w:tcW w:w="1092" w:type="dxa"/>
            <w:tcBorders>
              <w:top w:val="single" w:sz="4" w:space="0" w:color="auto"/>
              <w:left w:val="nil"/>
              <w:bottom w:val="nil"/>
              <w:right w:val="single" w:sz="4" w:space="0" w:color="auto"/>
            </w:tcBorders>
            <w:shd w:val="clear" w:color="auto" w:fill="0F243E" w:themeFill="text2" w:themeFillShade="80"/>
            <w:vAlign w:val="center"/>
          </w:tcPr>
          <w:p w:rsidR="003151C1" w:rsidRPr="003151C1" w:rsidRDefault="003151C1" w:rsidP="003151C1">
            <w:pPr>
              <w:spacing w:after="0" w:line="240" w:lineRule="auto"/>
              <w:jc w:val="center"/>
              <w:rPr>
                <w:rFonts w:eastAsia="Times New Roman" w:cs="Arial"/>
                <w:b/>
                <w:bCs/>
                <w:color w:val="FFFFFF" w:themeColor="background1"/>
                <w:sz w:val="12"/>
                <w:szCs w:val="12"/>
                <w:lang w:eastAsia="es-MX"/>
              </w:rPr>
            </w:pPr>
            <w:r w:rsidRPr="003151C1">
              <w:rPr>
                <w:rFonts w:eastAsia="Times New Roman" w:cs="Arial"/>
                <w:b/>
                <w:bCs/>
                <w:color w:val="FFFFFF" w:themeColor="background1"/>
                <w:sz w:val="12"/>
                <w:szCs w:val="12"/>
                <w:lang w:eastAsia="es-MX"/>
              </w:rPr>
              <w:t>MONTO</w:t>
            </w:r>
          </w:p>
        </w:tc>
      </w:tr>
      <w:tr w:rsidR="003151C1" w:rsidRPr="003151C1" w:rsidTr="003151C1">
        <w:trPr>
          <w:trHeight w:val="40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2526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4011" w:type="dxa"/>
            <w:tcBorders>
              <w:top w:val="single" w:sz="4" w:space="0" w:color="auto"/>
              <w:left w:val="nil"/>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both"/>
              <w:rPr>
                <w:rFonts w:eastAsia="Times New Roman" w:cs="Arial"/>
                <w:color w:val="000000"/>
                <w:sz w:val="12"/>
                <w:szCs w:val="12"/>
                <w:lang w:eastAsia="es-MX"/>
              </w:rPr>
            </w:pPr>
            <w:r w:rsidRPr="003151C1">
              <w:rPr>
                <w:rFonts w:eastAsia="Times New Roman" w:cs="Arial"/>
                <w:color w:val="000000"/>
                <w:sz w:val="12"/>
                <w:szCs w:val="12"/>
                <w:lang w:eastAsia="es-MX"/>
              </w:rPr>
              <w:t>VACUNA RECOMBINANTE CONTRA LA HEPATITIS B SUSPENSION INYECTABLE CADA DOSIS DE 1 ML CONTIENE: AGSHB 20 ΜG.</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 xml:space="preserve"> ENVASE CON UN FRASCO ÁMPULA CON 10 ML (10 DOSIS).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F.A</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10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DSS</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b/>
                <w:bCs/>
                <w:color w:val="000000"/>
                <w:sz w:val="12"/>
                <w:szCs w:val="12"/>
                <w:lang w:eastAsia="es-MX"/>
              </w:rPr>
            </w:pPr>
            <w:r w:rsidRPr="003151C1">
              <w:rPr>
                <w:rFonts w:eastAsia="Times New Roman" w:cs="Arial"/>
                <w:b/>
                <w:bCs/>
                <w:color w:val="000000"/>
                <w:sz w:val="12"/>
                <w:szCs w:val="12"/>
                <w:lang w:eastAsia="es-MX"/>
              </w:rPr>
              <w:t>2,840,940</w:t>
            </w:r>
          </w:p>
        </w:tc>
        <w:tc>
          <w:tcPr>
            <w:tcW w:w="1092" w:type="dxa"/>
            <w:tcBorders>
              <w:top w:val="single" w:sz="4" w:space="0" w:color="auto"/>
              <w:left w:val="nil"/>
              <w:bottom w:val="single" w:sz="4" w:space="0" w:color="auto"/>
              <w:right w:val="single" w:sz="4" w:space="0" w:color="auto"/>
            </w:tcBorders>
            <w:vAlign w:val="center"/>
          </w:tcPr>
          <w:p w:rsidR="003151C1" w:rsidRPr="003151C1" w:rsidRDefault="003151C1" w:rsidP="003151C1">
            <w:pPr>
              <w:spacing w:after="0" w:line="240" w:lineRule="auto"/>
              <w:jc w:val="center"/>
              <w:rPr>
                <w:rFonts w:cs="Arial"/>
                <w:color w:val="000000"/>
                <w:sz w:val="12"/>
                <w:szCs w:val="12"/>
              </w:rPr>
            </w:pPr>
            <w:r w:rsidRPr="003151C1">
              <w:rPr>
                <w:rFonts w:cs="Arial"/>
                <w:color w:val="000000"/>
                <w:sz w:val="12"/>
                <w:szCs w:val="12"/>
              </w:rPr>
              <w:t>$55,029,007.80</w:t>
            </w:r>
          </w:p>
        </w:tc>
      </w:tr>
      <w:tr w:rsidR="003151C1" w:rsidRPr="003151C1" w:rsidTr="003151C1">
        <w:trPr>
          <w:trHeight w:val="56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020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2527</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4011" w:type="dxa"/>
            <w:tcBorders>
              <w:top w:val="nil"/>
              <w:left w:val="nil"/>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both"/>
              <w:rPr>
                <w:rFonts w:eastAsia="Times New Roman" w:cs="Arial"/>
                <w:color w:val="000000"/>
                <w:sz w:val="12"/>
                <w:szCs w:val="12"/>
                <w:lang w:eastAsia="es-MX"/>
              </w:rPr>
            </w:pPr>
            <w:r w:rsidRPr="003151C1">
              <w:rPr>
                <w:rFonts w:eastAsia="Times New Roman" w:cs="Arial"/>
                <w:color w:val="000000"/>
                <w:sz w:val="12"/>
                <w:szCs w:val="12"/>
                <w:lang w:eastAsia="es-MX"/>
              </w:rPr>
              <w:t xml:space="preserve">VACUNA RECOMBINANTE CONTRA LA HEPATITIS B SUSPENSION INYECTABLE CADA DOSIS DE 0.5 ML CONTIENE: ANTÍGENO DE SUPERFICIE DEL VIRUS DE LA HEPATITIS B PURIFICADO DNA RECOMBINANTE 10ΜG. </w:t>
            </w:r>
          </w:p>
        </w:tc>
        <w:tc>
          <w:tcPr>
            <w:tcW w:w="0" w:type="auto"/>
            <w:tcBorders>
              <w:top w:val="nil"/>
              <w:left w:val="nil"/>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ENVASE CON JERINGA PRELLENADA CON 0.5 ML O FRASCO ÁMPULA CON 0.5 ML.</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1</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EQP</w:t>
            </w:r>
          </w:p>
        </w:tc>
        <w:tc>
          <w:tcPr>
            <w:tcW w:w="1092" w:type="dxa"/>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b/>
                <w:bCs/>
                <w:color w:val="000000"/>
                <w:sz w:val="12"/>
                <w:szCs w:val="12"/>
                <w:lang w:eastAsia="es-MX"/>
              </w:rPr>
            </w:pPr>
            <w:r w:rsidRPr="003151C1">
              <w:rPr>
                <w:rFonts w:eastAsia="Times New Roman" w:cs="Arial"/>
                <w:b/>
                <w:bCs/>
                <w:color w:val="000000"/>
                <w:sz w:val="12"/>
                <w:szCs w:val="12"/>
                <w:lang w:eastAsia="es-MX"/>
              </w:rPr>
              <w:t>956,964</w:t>
            </w:r>
          </w:p>
        </w:tc>
        <w:tc>
          <w:tcPr>
            <w:tcW w:w="1092" w:type="dxa"/>
            <w:tcBorders>
              <w:top w:val="nil"/>
              <w:left w:val="nil"/>
              <w:bottom w:val="single" w:sz="4" w:space="0" w:color="auto"/>
              <w:right w:val="single" w:sz="4" w:space="0" w:color="auto"/>
            </w:tcBorders>
            <w:vAlign w:val="center"/>
          </w:tcPr>
          <w:p w:rsidR="003151C1" w:rsidRPr="003151C1" w:rsidRDefault="003151C1" w:rsidP="003151C1">
            <w:pPr>
              <w:spacing w:after="0" w:line="240" w:lineRule="auto"/>
              <w:jc w:val="center"/>
              <w:rPr>
                <w:rFonts w:cs="Arial"/>
                <w:color w:val="000000"/>
                <w:sz w:val="12"/>
                <w:szCs w:val="12"/>
              </w:rPr>
            </w:pPr>
            <w:r w:rsidRPr="003151C1">
              <w:rPr>
                <w:rFonts w:cs="Arial"/>
                <w:color w:val="000000"/>
                <w:sz w:val="12"/>
                <w:szCs w:val="12"/>
              </w:rPr>
              <w:t>$10,526,604.00</w:t>
            </w:r>
          </w:p>
        </w:tc>
      </w:tr>
      <w:tr w:rsidR="003151C1" w:rsidRPr="003151C1" w:rsidTr="003151C1">
        <w:trPr>
          <w:trHeight w:val="127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020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3800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4011" w:type="dxa"/>
            <w:tcBorders>
              <w:top w:val="nil"/>
              <w:left w:val="nil"/>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both"/>
              <w:rPr>
                <w:rFonts w:eastAsia="Times New Roman" w:cs="Arial"/>
                <w:color w:val="000000"/>
                <w:sz w:val="12"/>
                <w:szCs w:val="12"/>
                <w:lang w:eastAsia="es-MX"/>
              </w:rPr>
            </w:pPr>
            <w:r w:rsidRPr="003151C1">
              <w:rPr>
                <w:rFonts w:eastAsia="Times New Roman" w:cs="Arial"/>
                <w:color w:val="000000"/>
                <w:sz w:val="12"/>
                <w:szCs w:val="12"/>
                <w:lang w:eastAsia="es-MX"/>
              </w:rPr>
              <w:t>VACUNA DOBLE VIRAL (SR) CONTRA SARAMPIÓN Y RUBÉOLA SUSPENSION INYECTABLE CADA DOSIS DE 0.5 ML DE VACUNA RECONSTITUIDA CONTIENE: VIRUS ATENUADOS DEL SARAMPIÓN CEPA EDMONSTON- ZAGREB (CULTIVADOS EN CÉLULAS DIPLOIDES HUMANAS) O CEPA ENDERS O CEPA SCHWARZ (CULTIVADOS EN FIBROBLASTOS DE EMBRIÓN DE POLLO) 3.0 LOG10 A 4.5 LOG10 DICC</w:t>
            </w:r>
            <w:r w:rsidRPr="003151C1">
              <w:rPr>
                <w:rFonts w:eastAsia="Times New Roman" w:cs="Arial"/>
                <w:color w:val="000000"/>
                <w:sz w:val="12"/>
                <w:szCs w:val="12"/>
                <w:vertAlign w:val="subscript"/>
                <w:lang w:eastAsia="es-MX"/>
              </w:rPr>
              <w:t>50</w:t>
            </w:r>
            <w:r w:rsidRPr="003151C1">
              <w:rPr>
                <w:rFonts w:eastAsia="Times New Roman" w:cs="Arial"/>
                <w:color w:val="000000"/>
                <w:sz w:val="12"/>
                <w:szCs w:val="12"/>
                <w:lang w:eastAsia="es-MX"/>
              </w:rPr>
              <w:t xml:space="preserve"> O 1000 A 32000 DICC</w:t>
            </w:r>
            <w:r w:rsidRPr="003151C1">
              <w:rPr>
                <w:rFonts w:eastAsia="Times New Roman" w:cs="Arial"/>
                <w:color w:val="000000"/>
                <w:sz w:val="12"/>
                <w:szCs w:val="12"/>
                <w:vertAlign w:val="subscript"/>
                <w:lang w:eastAsia="es-MX"/>
              </w:rPr>
              <w:t>50</w:t>
            </w:r>
            <w:r w:rsidRPr="003151C1">
              <w:rPr>
                <w:rFonts w:eastAsia="Times New Roman" w:cs="Arial"/>
                <w:color w:val="000000"/>
                <w:sz w:val="12"/>
                <w:szCs w:val="12"/>
                <w:lang w:eastAsia="es-MX"/>
              </w:rPr>
              <w:t xml:space="preserve"> O 10</w:t>
            </w:r>
            <w:r w:rsidRPr="003151C1">
              <w:rPr>
                <w:rFonts w:eastAsia="Times New Roman" w:cs="Arial"/>
                <w:color w:val="000000"/>
                <w:sz w:val="12"/>
                <w:szCs w:val="12"/>
                <w:vertAlign w:val="superscript"/>
                <w:lang w:eastAsia="es-MX"/>
              </w:rPr>
              <w:t>3</w:t>
            </w:r>
            <w:r w:rsidRPr="003151C1">
              <w:rPr>
                <w:rFonts w:eastAsia="Times New Roman" w:cs="Arial"/>
                <w:color w:val="000000"/>
                <w:sz w:val="12"/>
                <w:szCs w:val="12"/>
                <w:lang w:eastAsia="es-MX"/>
              </w:rPr>
              <w:t xml:space="preserve"> A 3.2 X 10</w:t>
            </w:r>
            <w:r w:rsidRPr="003151C1">
              <w:rPr>
                <w:rFonts w:eastAsia="Times New Roman" w:cs="Arial"/>
                <w:color w:val="000000"/>
                <w:sz w:val="12"/>
                <w:szCs w:val="12"/>
                <w:vertAlign w:val="superscript"/>
                <w:lang w:eastAsia="es-MX"/>
              </w:rPr>
              <w:t>4</w:t>
            </w:r>
            <w:r w:rsidRPr="003151C1">
              <w:rPr>
                <w:rFonts w:eastAsia="Times New Roman" w:cs="Arial"/>
                <w:color w:val="000000"/>
                <w:sz w:val="12"/>
                <w:szCs w:val="12"/>
                <w:lang w:eastAsia="es-MX"/>
              </w:rPr>
              <w:t xml:space="preserve"> DICC</w:t>
            </w:r>
            <w:r w:rsidRPr="003151C1">
              <w:rPr>
                <w:rFonts w:eastAsia="Times New Roman" w:cs="Arial"/>
                <w:color w:val="000000"/>
                <w:sz w:val="12"/>
                <w:szCs w:val="12"/>
                <w:vertAlign w:val="subscript"/>
                <w:lang w:eastAsia="es-MX"/>
              </w:rPr>
              <w:t>50</w:t>
            </w:r>
            <w:r w:rsidRPr="003151C1">
              <w:rPr>
                <w:rFonts w:eastAsia="Times New Roman" w:cs="Arial"/>
                <w:color w:val="000000"/>
                <w:sz w:val="12"/>
                <w:szCs w:val="12"/>
                <w:lang w:eastAsia="es-MX"/>
              </w:rPr>
              <w:t xml:space="preserve"> VIRUS ATENUADOS DE LA RUBEOLA CEPA WISTAR RA 27/3 (CULTIVADOS EN CÉLULAS DIPLOIDES HUMANAS MRC-5 O WI-38) ≥ 3.0 LOG10 DICC50 O ≥ 1000 DICC</w:t>
            </w:r>
            <w:r w:rsidRPr="003151C1">
              <w:rPr>
                <w:rFonts w:eastAsia="Times New Roman" w:cs="Arial"/>
                <w:color w:val="000000"/>
                <w:sz w:val="12"/>
                <w:szCs w:val="12"/>
                <w:vertAlign w:val="subscript"/>
                <w:lang w:eastAsia="es-MX"/>
              </w:rPr>
              <w:t>50</w:t>
            </w:r>
            <w:r w:rsidRPr="003151C1">
              <w:rPr>
                <w:rFonts w:eastAsia="Times New Roman" w:cs="Arial"/>
                <w:color w:val="000000"/>
                <w:sz w:val="12"/>
                <w:szCs w:val="12"/>
                <w:lang w:eastAsia="es-MX"/>
              </w:rPr>
              <w:t xml:space="preserve"> O ≥10</w:t>
            </w:r>
            <w:r w:rsidRPr="003151C1">
              <w:rPr>
                <w:rFonts w:eastAsia="Times New Roman" w:cs="Arial"/>
                <w:color w:val="000000"/>
                <w:sz w:val="12"/>
                <w:szCs w:val="12"/>
                <w:vertAlign w:val="superscript"/>
                <w:lang w:eastAsia="es-MX"/>
              </w:rPr>
              <w:t xml:space="preserve">3 </w:t>
            </w:r>
            <w:r w:rsidRPr="003151C1">
              <w:rPr>
                <w:rFonts w:eastAsia="Times New Roman" w:cs="Arial"/>
                <w:color w:val="000000"/>
                <w:sz w:val="12"/>
                <w:szCs w:val="12"/>
                <w:lang w:eastAsia="es-MX"/>
              </w:rPr>
              <w:t>DICC</w:t>
            </w:r>
            <w:r w:rsidRPr="003151C1">
              <w:rPr>
                <w:rFonts w:eastAsia="Times New Roman" w:cs="Arial"/>
                <w:color w:val="000000"/>
                <w:sz w:val="12"/>
                <w:szCs w:val="12"/>
                <w:vertAlign w:val="subscript"/>
                <w:lang w:eastAsia="es-MX"/>
              </w:rPr>
              <w:t xml:space="preserve">50. </w:t>
            </w:r>
          </w:p>
        </w:tc>
        <w:tc>
          <w:tcPr>
            <w:tcW w:w="0" w:type="auto"/>
            <w:tcBorders>
              <w:top w:val="nil"/>
              <w:left w:val="nil"/>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ENVASE CON LIOFILIZADO PARA 10 DOSIS Y DILUYENTE.</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10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DSS</w:t>
            </w:r>
          </w:p>
        </w:tc>
        <w:tc>
          <w:tcPr>
            <w:tcW w:w="1092" w:type="dxa"/>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b/>
                <w:bCs/>
                <w:color w:val="000000"/>
                <w:sz w:val="12"/>
                <w:szCs w:val="12"/>
                <w:lang w:eastAsia="es-MX"/>
              </w:rPr>
            </w:pPr>
            <w:r w:rsidRPr="003151C1">
              <w:rPr>
                <w:rFonts w:eastAsia="Times New Roman" w:cs="Arial"/>
                <w:b/>
                <w:bCs/>
                <w:color w:val="000000"/>
                <w:sz w:val="12"/>
                <w:szCs w:val="12"/>
                <w:lang w:eastAsia="es-MX"/>
              </w:rPr>
              <w:t>512,880</w:t>
            </w:r>
          </w:p>
        </w:tc>
        <w:tc>
          <w:tcPr>
            <w:tcW w:w="1092" w:type="dxa"/>
            <w:tcBorders>
              <w:top w:val="nil"/>
              <w:left w:val="nil"/>
              <w:bottom w:val="single" w:sz="4" w:space="0" w:color="auto"/>
              <w:right w:val="single" w:sz="4" w:space="0" w:color="auto"/>
            </w:tcBorders>
            <w:vAlign w:val="center"/>
          </w:tcPr>
          <w:p w:rsidR="003151C1" w:rsidRPr="003151C1" w:rsidRDefault="003151C1" w:rsidP="003151C1">
            <w:pPr>
              <w:spacing w:after="0" w:line="240" w:lineRule="auto"/>
              <w:jc w:val="center"/>
              <w:rPr>
                <w:rFonts w:cs="Arial"/>
                <w:color w:val="000000"/>
                <w:sz w:val="12"/>
                <w:szCs w:val="12"/>
              </w:rPr>
            </w:pPr>
            <w:r w:rsidRPr="003151C1">
              <w:rPr>
                <w:rFonts w:cs="Arial"/>
                <w:color w:val="000000"/>
                <w:sz w:val="12"/>
                <w:szCs w:val="12"/>
              </w:rPr>
              <w:t>$143,801,294.40</w:t>
            </w:r>
          </w:p>
        </w:tc>
      </w:tr>
      <w:tr w:rsidR="003151C1" w:rsidRPr="003151C1" w:rsidTr="003151C1">
        <w:trPr>
          <w:trHeight w:val="168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020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3805</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4011" w:type="dxa"/>
            <w:tcBorders>
              <w:top w:val="nil"/>
              <w:left w:val="nil"/>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both"/>
              <w:rPr>
                <w:rFonts w:eastAsia="Times New Roman" w:cs="Arial"/>
                <w:color w:val="000000"/>
                <w:sz w:val="12"/>
                <w:szCs w:val="12"/>
                <w:lang w:eastAsia="es-MX"/>
              </w:rPr>
            </w:pPr>
            <w:r w:rsidRPr="003151C1">
              <w:rPr>
                <w:rFonts w:eastAsia="Times New Roman" w:cs="Arial"/>
                <w:color w:val="000000"/>
                <w:sz w:val="12"/>
                <w:szCs w:val="12"/>
                <w:lang w:eastAsia="es-MX"/>
              </w:rPr>
              <w:t xml:space="preserve">VACUNA ANTIPERTUSSIS CON TOXOIDES DIFTÉRICO Y TETÁNICO (DPT) SUSPENSIÓN INYECTABLE * CADA DOSIS DE 0.5 ML CONTIENE: BORDETELLA PERTUSSIS NO MÁS DE 16 UO TOXOIDE DIFTÉRICO, NO MÁS DE 30 LF TOXOIDE TETÁNICO, NO MÁS DE 25 LF Ó **CADA DOSIS DE 0.5 ML CONTIENE: BORDETELLA PERTUSSI, NO MENOS DE 4 UI.  TOXOIDES MÉTODO DE RETO, MÉTODO DE SERONEUTRALIZACIÓN,  TOXOIDE DIFTÉRICO NO MENOS DE 30 UI , MÍNIMO 2 UI DE   ANTITOXINA/ML DE SUERO, TOXOIDE TETÁNICO NO MENOS DE 40 UI EN COBAYOS O NO MENOS DE 60 UI EN RATONES, MÍNIMO 2 UI DE ANTITOXINA/ML DE SUERO.  </w:t>
            </w:r>
            <w:r w:rsidRPr="003151C1">
              <w:rPr>
                <w:rFonts w:eastAsia="Times New Roman" w:cs="Arial"/>
                <w:color w:val="000000"/>
                <w:sz w:val="12"/>
                <w:szCs w:val="12"/>
                <w:lang w:eastAsia="es-MX"/>
              </w:rPr>
              <w:br/>
              <w:t>*FORMULACIÓN DE PROCESO</w:t>
            </w:r>
            <w:r w:rsidRPr="003151C1">
              <w:rPr>
                <w:rFonts w:eastAsia="Times New Roman" w:cs="Arial"/>
                <w:color w:val="000000"/>
                <w:sz w:val="12"/>
                <w:szCs w:val="12"/>
                <w:lang w:eastAsia="es-MX"/>
              </w:rPr>
              <w:br/>
              <w:t>**POTENCIA DE PRODUCTO TERMINADO</w:t>
            </w:r>
          </w:p>
        </w:tc>
        <w:tc>
          <w:tcPr>
            <w:tcW w:w="0" w:type="auto"/>
            <w:tcBorders>
              <w:top w:val="nil"/>
              <w:left w:val="nil"/>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ENVASE CON FRASCO ÁMPULA DE 5 ML (10 DOSIS)</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10</w:t>
            </w:r>
          </w:p>
        </w:tc>
        <w:tc>
          <w:tcPr>
            <w:tcW w:w="0" w:type="auto"/>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DSS</w:t>
            </w:r>
          </w:p>
        </w:tc>
        <w:tc>
          <w:tcPr>
            <w:tcW w:w="1092" w:type="dxa"/>
            <w:tcBorders>
              <w:top w:val="nil"/>
              <w:left w:val="nil"/>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b/>
                <w:bCs/>
                <w:color w:val="000000"/>
                <w:sz w:val="12"/>
                <w:szCs w:val="12"/>
                <w:lang w:eastAsia="es-MX"/>
              </w:rPr>
            </w:pPr>
            <w:r w:rsidRPr="003151C1">
              <w:rPr>
                <w:rFonts w:eastAsia="Times New Roman" w:cs="Arial"/>
                <w:b/>
                <w:bCs/>
                <w:color w:val="000000"/>
                <w:sz w:val="12"/>
                <w:szCs w:val="12"/>
                <w:lang w:eastAsia="es-MX"/>
              </w:rPr>
              <w:t>2,081,086</w:t>
            </w:r>
          </w:p>
        </w:tc>
        <w:tc>
          <w:tcPr>
            <w:tcW w:w="1092" w:type="dxa"/>
            <w:tcBorders>
              <w:top w:val="nil"/>
              <w:left w:val="nil"/>
              <w:bottom w:val="single" w:sz="4" w:space="0" w:color="auto"/>
              <w:right w:val="single" w:sz="4" w:space="0" w:color="auto"/>
            </w:tcBorders>
            <w:vAlign w:val="center"/>
          </w:tcPr>
          <w:p w:rsidR="003151C1" w:rsidRPr="003151C1" w:rsidRDefault="003151C1" w:rsidP="003151C1">
            <w:pPr>
              <w:spacing w:after="0" w:line="240" w:lineRule="auto"/>
              <w:jc w:val="center"/>
              <w:rPr>
                <w:rFonts w:cs="Arial"/>
                <w:color w:val="000000"/>
                <w:sz w:val="12"/>
                <w:szCs w:val="12"/>
              </w:rPr>
            </w:pPr>
            <w:r w:rsidRPr="003151C1">
              <w:rPr>
                <w:rFonts w:cs="Arial"/>
                <w:color w:val="000000"/>
                <w:sz w:val="12"/>
                <w:szCs w:val="12"/>
              </w:rPr>
              <w:t>$652,420,461.00</w:t>
            </w:r>
          </w:p>
        </w:tc>
      </w:tr>
      <w:tr w:rsidR="003151C1" w:rsidRPr="003151C1" w:rsidTr="003151C1">
        <w:trPr>
          <w:trHeight w:val="698"/>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020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000</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3825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40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both"/>
              <w:rPr>
                <w:rFonts w:eastAsia="Times New Roman" w:cs="Arial"/>
                <w:color w:val="000000"/>
                <w:sz w:val="12"/>
                <w:szCs w:val="12"/>
                <w:lang w:eastAsia="es-MX"/>
              </w:rPr>
            </w:pPr>
            <w:r w:rsidRPr="003151C1">
              <w:rPr>
                <w:rFonts w:eastAsia="Times New Roman" w:cs="Arial"/>
                <w:color w:val="000000"/>
                <w:sz w:val="12"/>
                <w:szCs w:val="12"/>
                <w:lang w:eastAsia="es-MX"/>
              </w:rPr>
              <w:t xml:space="preserve">VACUNA CONTRA LA HEPATITIS A. SUSPENSION INYECTABLE CADA DOSIS DE 0.5 ML CONTIENE: ANTIGENO VIRAL HEPATITIS A CEPA HM175, 720 U ELISA (PEDIATRICA).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ENVASE CON JERINGA PRELLENADA CON UNA DOSIS DE 0.5 ML.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JGA</w:t>
            </w:r>
          </w:p>
        </w:tc>
        <w:tc>
          <w:tcPr>
            <w:tcW w:w="1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b/>
                <w:bCs/>
                <w:color w:val="000000"/>
                <w:sz w:val="12"/>
                <w:szCs w:val="12"/>
                <w:lang w:eastAsia="es-MX"/>
              </w:rPr>
            </w:pPr>
            <w:r w:rsidRPr="003151C1">
              <w:rPr>
                <w:rFonts w:eastAsia="Times New Roman" w:cs="Arial"/>
                <w:b/>
                <w:bCs/>
                <w:color w:val="000000"/>
                <w:sz w:val="12"/>
                <w:szCs w:val="12"/>
                <w:lang w:eastAsia="es-MX"/>
              </w:rPr>
              <w:t>116,370</w:t>
            </w:r>
          </w:p>
        </w:tc>
        <w:tc>
          <w:tcPr>
            <w:tcW w:w="1092" w:type="dxa"/>
            <w:tcBorders>
              <w:top w:val="single" w:sz="4" w:space="0" w:color="auto"/>
              <w:left w:val="single" w:sz="4" w:space="0" w:color="auto"/>
              <w:bottom w:val="single" w:sz="4" w:space="0" w:color="auto"/>
              <w:right w:val="single" w:sz="4" w:space="0" w:color="auto"/>
            </w:tcBorders>
            <w:vAlign w:val="center"/>
          </w:tcPr>
          <w:p w:rsidR="003151C1" w:rsidRPr="003151C1" w:rsidRDefault="003151C1" w:rsidP="003151C1">
            <w:pPr>
              <w:spacing w:after="0" w:line="240" w:lineRule="auto"/>
              <w:jc w:val="center"/>
              <w:rPr>
                <w:rFonts w:cs="Arial"/>
                <w:color w:val="000000"/>
                <w:sz w:val="12"/>
                <w:szCs w:val="12"/>
              </w:rPr>
            </w:pPr>
            <w:r w:rsidRPr="003151C1">
              <w:rPr>
                <w:rFonts w:cs="Arial"/>
                <w:color w:val="000000"/>
                <w:sz w:val="12"/>
                <w:szCs w:val="12"/>
              </w:rPr>
              <w:t>$16,011,348.30</w:t>
            </w:r>
          </w:p>
        </w:tc>
      </w:tr>
      <w:tr w:rsidR="003151C1" w:rsidRPr="003151C1" w:rsidTr="003151C1">
        <w:trPr>
          <w:trHeight w:val="707"/>
        </w:trPr>
        <w:tc>
          <w:tcPr>
            <w:tcW w:w="0" w:type="auto"/>
            <w:vMerge/>
            <w:tcBorders>
              <w:top w:val="nil"/>
              <w:left w:val="single" w:sz="4" w:space="0" w:color="auto"/>
              <w:bottom w:val="single" w:sz="4" w:space="0" w:color="auto"/>
              <w:right w:val="single" w:sz="4" w:space="0" w:color="auto"/>
            </w:tcBorders>
            <w:vAlign w:val="center"/>
            <w:hideMark/>
          </w:tcPr>
          <w:p w:rsidR="003151C1" w:rsidRPr="001D076D" w:rsidRDefault="003151C1" w:rsidP="003151C1">
            <w:pPr>
              <w:spacing w:after="0" w:line="240" w:lineRule="auto"/>
              <w:rPr>
                <w:rFonts w:eastAsia="Times New Roman" w:cs="Arial"/>
                <w:color w:val="000000"/>
                <w:sz w:val="12"/>
                <w:szCs w:val="12"/>
                <w:lang w:eastAsia="es-MX"/>
              </w:rPr>
            </w:pPr>
          </w:p>
        </w:tc>
        <w:tc>
          <w:tcPr>
            <w:tcW w:w="0" w:type="auto"/>
            <w:vMerge/>
            <w:tcBorders>
              <w:top w:val="nil"/>
              <w:left w:val="single" w:sz="4" w:space="0" w:color="auto"/>
              <w:bottom w:val="single" w:sz="4" w:space="0" w:color="auto"/>
              <w:right w:val="single" w:sz="4" w:space="0" w:color="auto"/>
            </w:tcBorders>
            <w:vAlign w:val="center"/>
            <w:hideMark/>
          </w:tcPr>
          <w:p w:rsidR="003151C1" w:rsidRPr="001D076D" w:rsidRDefault="003151C1" w:rsidP="003151C1">
            <w:pPr>
              <w:spacing w:after="0" w:line="240" w:lineRule="auto"/>
              <w:rPr>
                <w:rFonts w:eastAsia="Times New Roman" w:cs="Arial"/>
                <w:color w:val="000000"/>
                <w:sz w:val="12"/>
                <w:szCs w:val="12"/>
                <w:lang w:eastAsia="es-MX"/>
              </w:rPr>
            </w:pPr>
          </w:p>
        </w:tc>
        <w:tc>
          <w:tcPr>
            <w:tcW w:w="0" w:type="auto"/>
            <w:vMerge/>
            <w:tcBorders>
              <w:top w:val="nil"/>
              <w:left w:val="single" w:sz="4" w:space="0" w:color="auto"/>
              <w:bottom w:val="single" w:sz="4" w:space="0" w:color="auto"/>
              <w:right w:val="single" w:sz="4" w:space="0" w:color="auto"/>
            </w:tcBorders>
            <w:vAlign w:val="center"/>
            <w:hideMark/>
          </w:tcPr>
          <w:p w:rsidR="003151C1" w:rsidRPr="001D076D" w:rsidRDefault="003151C1" w:rsidP="003151C1">
            <w:pPr>
              <w:spacing w:after="0" w:line="240" w:lineRule="auto"/>
              <w:rPr>
                <w:rFonts w:eastAsia="Times New Roman" w:cs="Arial"/>
                <w:color w:val="000000"/>
                <w:sz w:val="12"/>
                <w:szCs w:val="12"/>
                <w:lang w:eastAsia="es-MX"/>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40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both"/>
              <w:rPr>
                <w:rFonts w:eastAsia="Times New Roman" w:cs="Arial"/>
                <w:color w:val="000000"/>
                <w:sz w:val="12"/>
                <w:szCs w:val="12"/>
                <w:lang w:eastAsia="es-MX"/>
              </w:rPr>
            </w:pPr>
            <w:r w:rsidRPr="003151C1">
              <w:rPr>
                <w:rFonts w:eastAsia="Times New Roman" w:cs="Arial"/>
                <w:color w:val="000000"/>
                <w:sz w:val="12"/>
                <w:szCs w:val="12"/>
                <w:lang w:eastAsia="es-MX"/>
              </w:rPr>
              <w:t>VACUNA CONTRA LA HEPATITIS A. SUSPENSION INYECTABLE CADA DOSIS DE 0.5 ML CONTIENE: ANTIGENO VIRAL HEPATITIS A CEPA HM175, 720 U ELISA (ADULTO).</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ENVASE CON JERINGA PRELLENADA CON UNA DOSIS DE 0.5 ML.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JGA</w:t>
            </w:r>
          </w:p>
        </w:tc>
        <w:tc>
          <w:tcPr>
            <w:tcW w:w="1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b/>
                <w:bCs/>
                <w:color w:val="000000"/>
                <w:sz w:val="12"/>
                <w:szCs w:val="12"/>
                <w:lang w:eastAsia="es-MX"/>
              </w:rPr>
            </w:pPr>
            <w:r w:rsidRPr="003151C1">
              <w:rPr>
                <w:rFonts w:eastAsia="Times New Roman" w:cs="Arial"/>
                <w:b/>
                <w:bCs/>
                <w:color w:val="000000"/>
                <w:sz w:val="12"/>
                <w:szCs w:val="12"/>
                <w:lang w:eastAsia="es-MX"/>
              </w:rPr>
              <w:t>26,810</w:t>
            </w:r>
          </w:p>
        </w:tc>
        <w:tc>
          <w:tcPr>
            <w:tcW w:w="1092" w:type="dxa"/>
            <w:tcBorders>
              <w:top w:val="single" w:sz="4" w:space="0" w:color="auto"/>
              <w:left w:val="single" w:sz="4" w:space="0" w:color="auto"/>
              <w:bottom w:val="single" w:sz="4" w:space="0" w:color="auto"/>
              <w:right w:val="single" w:sz="4" w:space="0" w:color="auto"/>
            </w:tcBorders>
            <w:vAlign w:val="center"/>
          </w:tcPr>
          <w:p w:rsidR="003151C1" w:rsidRPr="003151C1" w:rsidRDefault="003151C1" w:rsidP="003151C1">
            <w:pPr>
              <w:spacing w:after="0" w:line="240" w:lineRule="auto"/>
              <w:jc w:val="center"/>
              <w:rPr>
                <w:rFonts w:cs="Arial"/>
                <w:color w:val="000000"/>
                <w:sz w:val="12"/>
                <w:szCs w:val="12"/>
              </w:rPr>
            </w:pPr>
            <w:r w:rsidRPr="003151C1">
              <w:rPr>
                <w:rFonts w:cs="Arial"/>
                <w:color w:val="000000"/>
                <w:sz w:val="12"/>
                <w:szCs w:val="12"/>
              </w:rPr>
              <w:t>$3,688,787.90</w:t>
            </w:r>
          </w:p>
        </w:tc>
      </w:tr>
      <w:tr w:rsidR="003151C1" w:rsidRPr="003151C1" w:rsidTr="003151C1">
        <w:trPr>
          <w:trHeight w:val="97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rPr>
                <w:rFonts w:eastAsia="Times New Roman" w:cs="Arial"/>
                <w:color w:val="000000"/>
                <w:sz w:val="12"/>
                <w:szCs w:val="12"/>
                <w:lang w:eastAsia="es-MX"/>
              </w:rPr>
            </w:pPr>
            <w:r w:rsidRPr="003151C1">
              <w:rPr>
                <w:rFonts w:eastAsia="Times New Roman" w:cs="Arial"/>
                <w:color w:val="000000"/>
                <w:sz w:val="12"/>
                <w:szCs w:val="12"/>
                <w:lang w:eastAsia="es-MX"/>
              </w:rPr>
              <w:t>020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rPr>
                <w:rFonts w:eastAsia="Times New Roman" w:cs="Arial"/>
                <w:color w:val="000000"/>
                <w:sz w:val="12"/>
                <w:szCs w:val="12"/>
                <w:lang w:eastAsia="es-MX"/>
              </w:rPr>
            </w:pPr>
            <w:r w:rsidRPr="003151C1">
              <w:rPr>
                <w:rFonts w:eastAsia="Times New Roman" w:cs="Arial"/>
                <w:color w:val="000000"/>
                <w:sz w:val="12"/>
                <w:szCs w:val="12"/>
                <w:lang w:eastAsia="es-MX"/>
              </w:rPr>
              <w:t>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rPr>
                <w:rFonts w:eastAsia="Times New Roman" w:cs="Arial"/>
                <w:color w:val="000000"/>
                <w:sz w:val="12"/>
                <w:szCs w:val="12"/>
                <w:lang w:eastAsia="es-MX"/>
              </w:rPr>
            </w:pPr>
            <w:r w:rsidRPr="003151C1">
              <w:rPr>
                <w:rFonts w:eastAsia="Times New Roman" w:cs="Arial"/>
                <w:color w:val="000000"/>
                <w:sz w:val="12"/>
                <w:szCs w:val="12"/>
                <w:lang w:eastAsia="es-MX"/>
              </w:rPr>
              <w:t>3831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00</w:t>
            </w:r>
          </w:p>
        </w:tc>
        <w:tc>
          <w:tcPr>
            <w:tcW w:w="40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both"/>
              <w:rPr>
                <w:rFonts w:eastAsia="Times New Roman" w:cs="Arial"/>
                <w:color w:val="000000"/>
                <w:sz w:val="12"/>
                <w:szCs w:val="12"/>
                <w:lang w:eastAsia="es-MX"/>
              </w:rPr>
            </w:pPr>
            <w:r w:rsidRPr="003151C1">
              <w:rPr>
                <w:rFonts w:eastAsia="Times New Roman" w:cs="Arial"/>
                <w:color w:val="000000"/>
                <w:sz w:val="12"/>
                <w:szCs w:val="12"/>
                <w:lang w:eastAsia="es-MX"/>
              </w:rPr>
              <w:t>INMUNOGLOBULINA HUMANA HIPERINMUNE ANTITETÁNICA SOLUCIÓN INYECTABLE</w:t>
            </w:r>
            <w:r w:rsidRPr="003151C1">
              <w:rPr>
                <w:rFonts w:eastAsia="Times New Roman" w:cs="Arial"/>
                <w:color w:val="000000"/>
                <w:sz w:val="12"/>
                <w:szCs w:val="12"/>
                <w:lang w:eastAsia="es-MX"/>
              </w:rPr>
              <w:br/>
              <w:t>CADA FRASCO ÁMPULA, AMPOLLETA O JERINGA PRELLENADA CONTIENE: INMUNOGLOBULINA HUMANA HIPERINMUNE ANTITETÁNICA 250 UI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ENVASE CON UNA JERINGA PRELLENADA CON 1 ML (250 UI/ML).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ENV</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color w:val="000000"/>
                <w:sz w:val="12"/>
                <w:szCs w:val="12"/>
                <w:lang w:eastAsia="es-MX"/>
              </w:rPr>
            </w:pPr>
            <w:r w:rsidRPr="003151C1">
              <w:rPr>
                <w:rFonts w:eastAsia="Times New Roman" w:cs="Arial"/>
                <w:color w:val="000000"/>
                <w:sz w:val="12"/>
                <w:szCs w:val="12"/>
                <w:lang w:eastAsia="es-MX"/>
              </w:rPr>
              <w:t>JGA</w:t>
            </w:r>
          </w:p>
        </w:tc>
        <w:tc>
          <w:tcPr>
            <w:tcW w:w="1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51C1" w:rsidRPr="001D076D" w:rsidRDefault="003151C1" w:rsidP="003151C1">
            <w:pPr>
              <w:spacing w:after="0" w:line="240" w:lineRule="auto"/>
              <w:jc w:val="center"/>
              <w:rPr>
                <w:rFonts w:eastAsia="Times New Roman" w:cs="Arial"/>
                <w:b/>
                <w:bCs/>
                <w:color w:val="000000"/>
                <w:sz w:val="12"/>
                <w:szCs w:val="12"/>
                <w:lang w:eastAsia="es-MX"/>
              </w:rPr>
            </w:pPr>
            <w:r w:rsidRPr="003151C1">
              <w:rPr>
                <w:rFonts w:eastAsia="Times New Roman" w:cs="Arial"/>
                <w:b/>
                <w:bCs/>
                <w:color w:val="000000"/>
                <w:sz w:val="12"/>
                <w:szCs w:val="12"/>
                <w:lang w:eastAsia="es-MX"/>
              </w:rPr>
              <w:t>42,419</w:t>
            </w:r>
          </w:p>
        </w:tc>
        <w:tc>
          <w:tcPr>
            <w:tcW w:w="1092" w:type="dxa"/>
            <w:tcBorders>
              <w:top w:val="single" w:sz="4" w:space="0" w:color="auto"/>
              <w:left w:val="single" w:sz="4" w:space="0" w:color="auto"/>
              <w:bottom w:val="single" w:sz="4" w:space="0" w:color="auto"/>
              <w:right w:val="single" w:sz="4" w:space="0" w:color="auto"/>
            </w:tcBorders>
            <w:vAlign w:val="center"/>
          </w:tcPr>
          <w:p w:rsidR="003151C1" w:rsidRPr="003151C1" w:rsidRDefault="003151C1" w:rsidP="003151C1">
            <w:pPr>
              <w:spacing w:after="0" w:line="240" w:lineRule="auto"/>
              <w:jc w:val="center"/>
              <w:rPr>
                <w:rFonts w:cs="Arial"/>
                <w:color w:val="000000"/>
                <w:sz w:val="12"/>
                <w:szCs w:val="12"/>
              </w:rPr>
            </w:pPr>
            <w:r w:rsidRPr="003151C1">
              <w:rPr>
                <w:rFonts w:cs="Arial"/>
                <w:color w:val="000000"/>
                <w:sz w:val="12"/>
                <w:szCs w:val="12"/>
              </w:rPr>
              <w:t>$10,212,798.44</w:t>
            </w:r>
          </w:p>
        </w:tc>
      </w:tr>
    </w:tbl>
    <w:p w:rsidR="00BC20EE" w:rsidRDefault="00BC20EE" w:rsidP="00383663">
      <w:pPr>
        <w:autoSpaceDE w:val="0"/>
        <w:autoSpaceDN w:val="0"/>
        <w:adjustRightInd w:val="0"/>
        <w:spacing w:after="0" w:line="240" w:lineRule="auto"/>
        <w:ind w:left="708"/>
        <w:jc w:val="both"/>
        <w:rPr>
          <w:rFonts w:ascii="Arial" w:eastAsia="Calibri" w:hAnsi="Arial" w:cs="Arial"/>
          <w:i/>
          <w:sz w:val="11"/>
          <w:szCs w:val="11"/>
        </w:rPr>
      </w:pPr>
    </w:p>
    <w:p w:rsidR="003151C1" w:rsidRDefault="003151C1" w:rsidP="001805E6">
      <w:pPr>
        <w:spacing w:after="0" w:line="240" w:lineRule="auto"/>
        <w:jc w:val="both"/>
        <w:rPr>
          <w:rFonts w:ascii="Arial" w:eastAsia="Calibri" w:hAnsi="Arial" w:cs="Arial"/>
          <w:sz w:val="20"/>
          <w:szCs w:val="20"/>
        </w:rPr>
      </w:pPr>
    </w:p>
    <w:p w:rsidR="001805E6" w:rsidRPr="001805E6" w:rsidRDefault="001805E6" w:rsidP="001805E6">
      <w:pPr>
        <w:spacing w:after="0" w:line="240" w:lineRule="auto"/>
        <w:jc w:val="both"/>
        <w:rPr>
          <w:rFonts w:ascii="Arial" w:eastAsia="Calibri" w:hAnsi="Arial" w:cs="Arial"/>
          <w:sz w:val="20"/>
          <w:szCs w:val="20"/>
        </w:rPr>
      </w:pPr>
      <w:r w:rsidRPr="001805E6">
        <w:rPr>
          <w:rFonts w:ascii="Arial" w:eastAsia="Calibri" w:hAnsi="Arial" w:cs="Arial"/>
          <w:sz w:val="20"/>
          <w:szCs w:val="20"/>
        </w:rPr>
        <w:t>La descripción, características, especificaciones, unidad de medida, clave</w:t>
      </w:r>
      <w:r>
        <w:rPr>
          <w:rFonts w:ascii="Arial" w:eastAsia="Calibri" w:hAnsi="Arial" w:cs="Arial"/>
          <w:sz w:val="20"/>
          <w:szCs w:val="20"/>
        </w:rPr>
        <w:t>(s)</w:t>
      </w:r>
      <w:r w:rsidRPr="001805E6">
        <w:rPr>
          <w:rFonts w:ascii="Arial" w:eastAsia="Calibri" w:hAnsi="Arial" w:cs="Arial"/>
          <w:sz w:val="20"/>
          <w:szCs w:val="20"/>
        </w:rPr>
        <w:t xml:space="preserve"> y cantidad solicitada por el Instituto, también se describen en el </w:t>
      </w:r>
      <w:r w:rsidRPr="001805E6">
        <w:rPr>
          <w:rFonts w:ascii="Arial" w:eastAsia="Calibri" w:hAnsi="Arial" w:cs="Arial"/>
          <w:b/>
          <w:sz w:val="20"/>
          <w:szCs w:val="20"/>
        </w:rPr>
        <w:t>Requerimiento</w:t>
      </w:r>
      <w:r w:rsidR="00735763">
        <w:rPr>
          <w:rFonts w:ascii="Arial" w:eastAsia="Calibri" w:hAnsi="Arial" w:cs="Arial"/>
          <w:sz w:val="20"/>
          <w:szCs w:val="20"/>
        </w:rPr>
        <w:t xml:space="preserve">, </w:t>
      </w:r>
      <w:r w:rsidR="00735763" w:rsidRPr="00735763">
        <w:rPr>
          <w:rFonts w:ascii="Arial" w:eastAsia="Calibri" w:hAnsi="Arial" w:cs="Arial"/>
          <w:b/>
          <w:sz w:val="20"/>
          <w:szCs w:val="20"/>
        </w:rPr>
        <w:t>Anexo 1</w:t>
      </w:r>
      <w:r w:rsidR="00735763">
        <w:rPr>
          <w:rFonts w:ascii="Arial" w:eastAsia="Calibri" w:hAnsi="Arial" w:cs="Arial"/>
          <w:sz w:val="20"/>
          <w:szCs w:val="20"/>
        </w:rPr>
        <w:t>.</w:t>
      </w:r>
      <w:bookmarkStart w:id="0" w:name="_GoBack"/>
      <w:bookmarkEnd w:id="0"/>
    </w:p>
    <w:p w:rsidR="001805E6" w:rsidRPr="00B6514B" w:rsidRDefault="001805E6" w:rsidP="001805E6">
      <w:pPr>
        <w:spacing w:after="0" w:line="240" w:lineRule="auto"/>
        <w:jc w:val="both"/>
        <w:rPr>
          <w:rFonts w:ascii="Arial" w:eastAsia="Calibri" w:hAnsi="Arial" w:cs="Arial"/>
          <w:sz w:val="16"/>
          <w:szCs w:val="20"/>
        </w:rPr>
      </w:pPr>
    </w:p>
    <w:p w:rsidR="001805E6" w:rsidRPr="001805E6" w:rsidRDefault="001805E6" w:rsidP="001805E6">
      <w:pPr>
        <w:numPr>
          <w:ilvl w:val="0"/>
          <w:numId w:val="1"/>
        </w:numPr>
        <w:spacing w:after="0" w:line="240" w:lineRule="auto"/>
        <w:contextualSpacing/>
        <w:jc w:val="both"/>
        <w:rPr>
          <w:rFonts w:ascii="Arial" w:eastAsia="Calibri" w:hAnsi="Arial" w:cs="Arial"/>
          <w:b/>
          <w:sz w:val="20"/>
          <w:szCs w:val="20"/>
          <w:lang w:val="x-none" w:eastAsia="es-ES"/>
        </w:rPr>
      </w:pPr>
      <w:r w:rsidRPr="001805E6">
        <w:rPr>
          <w:rFonts w:ascii="Arial" w:eastAsia="Calibri" w:hAnsi="Arial" w:cs="Arial"/>
          <w:b/>
          <w:sz w:val="20"/>
          <w:szCs w:val="20"/>
          <w:lang w:val="x-none" w:eastAsia="es-ES"/>
        </w:rPr>
        <w:t xml:space="preserve">Pruebas, método de evaluación y resultado mínimo que debe obtenerse.  </w:t>
      </w:r>
    </w:p>
    <w:p w:rsidR="001805E6" w:rsidRPr="001D076D" w:rsidRDefault="00F142B1" w:rsidP="001805E6">
      <w:pPr>
        <w:spacing w:after="0" w:line="240" w:lineRule="auto"/>
        <w:jc w:val="both"/>
        <w:rPr>
          <w:rFonts w:ascii="Arial" w:eastAsia="Calibri" w:hAnsi="Arial" w:cs="Arial"/>
          <w:sz w:val="20"/>
          <w:szCs w:val="20"/>
        </w:rPr>
      </w:pPr>
      <w:r w:rsidRPr="001D076D">
        <w:rPr>
          <w:rFonts w:ascii="Arial" w:eastAsia="Calibri" w:hAnsi="Arial" w:cs="Arial"/>
          <w:sz w:val="20"/>
          <w:szCs w:val="20"/>
        </w:rPr>
        <w:t xml:space="preserve">No se </w:t>
      </w:r>
      <w:r w:rsidR="008F7848" w:rsidRPr="001D076D">
        <w:rPr>
          <w:rFonts w:ascii="Arial" w:eastAsia="Calibri" w:hAnsi="Arial" w:cs="Arial"/>
          <w:sz w:val="20"/>
          <w:szCs w:val="20"/>
        </w:rPr>
        <w:t>requiere</w:t>
      </w:r>
      <w:r w:rsidR="001805E6" w:rsidRPr="001D076D">
        <w:rPr>
          <w:rFonts w:ascii="Arial" w:eastAsia="Calibri" w:hAnsi="Arial" w:cs="Arial"/>
          <w:sz w:val="20"/>
          <w:szCs w:val="20"/>
        </w:rPr>
        <w:t xml:space="preserve"> la aplicación de pruebas.</w:t>
      </w:r>
    </w:p>
    <w:p w:rsidR="008F7848" w:rsidRDefault="008F7848" w:rsidP="001805E6">
      <w:pPr>
        <w:spacing w:after="0" w:line="240" w:lineRule="auto"/>
        <w:jc w:val="both"/>
        <w:rPr>
          <w:rFonts w:ascii="Arial" w:eastAsia="Calibri" w:hAnsi="Arial" w:cs="Arial"/>
          <w:sz w:val="14"/>
          <w:szCs w:val="20"/>
        </w:rPr>
      </w:pPr>
    </w:p>
    <w:p w:rsidR="001805E6" w:rsidRPr="00E82C32" w:rsidRDefault="001805E6" w:rsidP="001805E6">
      <w:pPr>
        <w:numPr>
          <w:ilvl w:val="0"/>
          <w:numId w:val="1"/>
        </w:numPr>
        <w:spacing w:after="0" w:line="240" w:lineRule="auto"/>
        <w:contextualSpacing/>
        <w:jc w:val="both"/>
        <w:rPr>
          <w:rFonts w:ascii="Arial" w:eastAsia="Calibri" w:hAnsi="Arial" w:cs="Arial"/>
          <w:b/>
          <w:sz w:val="20"/>
          <w:szCs w:val="20"/>
          <w:lang w:val="x-none" w:eastAsia="es-ES"/>
        </w:rPr>
      </w:pPr>
      <w:r w:rsidRPr="00E82C32">
        <w:rPr>
          <w:rFonts w:ascii="Arial" w:eastAsia="Calibri" w:hAnsi="Arial" w:cs="Arial"/>
          <w:b/>
          <w:sz w:val="20"/>
          <w:szCs w:val="20"/>
          <w:lang w:eastAsia="es-ES"/>
        </w:rPr>
        <w:t>Formato de declaración de no conflicto de interés</w:t>
      </w:r>
      <w:r w:rsidRPr="00E82C32">
        <w:rPr>
          <w:rFonts w:ascii="Arial" w:eastAsia="Calibri" w:hAnsi="Arial" w:cs="Arial"/>
          <w:b/>
          <w:sz w:val="20"/>
          <w:szCs w:val="20"/>
          <w:lang w:val="x-none" w:eastAsia="es-ES"/>
        </w:rPr>
        <w:t xml:space="preserve">. </w:t>
      </w:r>
    </w:p>
    <w:p w:rsidR="001805E6" w:rsidRPr="00E82C32" w:rsidRDefault="001805E6" w:rsidP="001805E6">
      <w:pPr>
        <w:spacing w:after="0" w:line="240" w:lineRule="auto"/>
        <w:ind w:left="720" w:hanging="720"/>
        <w:contextualSpacing/>
        <w:jc w:val="both"/>
        <w:rPr>
          <w:rFonts w:ascii="Arial" w:eastAsia="Calibri" w:hAnsi="Arial" w:cs="Arial"/>
          <w:sz w:val="20"/>
          <w:szCs w:val="20"/>
          <w:lang w:eastAsia="es-ES"/>
        </w:rPr>
      </w:pPr>
    </w:p>
    <w:p w:rsidR="001805E6" w:rsidRPr="00E82C32" w:rsidRDefault="001805E6" w:rsidP="001805E6">
      <w:pPr>
        <w:spacing w:after="0" w:line="240" w:lineRule="auto"/>
        <w:contextualSpacing/>
        <w:jc w:val="both"/>
        <w:rPr>
          <w:rFonts w:ascii="Arial" w:eastAsia="Calibri" w:hAnsi="Arial" w:cs="Arial"/>
          <w:sz w:val="20"/>
          <w:szCs w:val="20"/>
          <w:lang w:eastAsia="es-ES"/>
        </w:rPr>
      </w:pPr>
      <w:r w:rsidRPr="00E82C32">
        <w:rPr>
          <w:rFonts w:ascii="Arial" w:eastAsia="Calibri" w:hAnsi="Arial" w:cs="Arial"/>
          <w:sz w:val="20"/>
          <w:szCs w:val="20"/>
          <w:lang w:eastAsia="es-ES"/>
        </w:rPr>
        <w:t>Se anexa a la presente solicitud, cartas de no conflicto de interés de los servidores públicos que intervienen en el presente asunto.</w:t>
      </w:r>
    </w:p>
    <w:p w:rsidR="001805E6" w:rsidRPr="00E82C32" w:rsidRDefault="001805E6" w:rsidP="001805E6">
      <w:pPr>
        <w:spacing w:after="0" w:line="240" w:lineRule="auto"/>
        <w:ind w:left="720" w:hanging="720"/>
        <w:contextualSpacing/>
        <w:jc w:val="both"/>
        <w:rPr>
          <w:rFonts w:ascii="Arial" w:eastAsia="Calibri" w:hAnsi="Arial" w:cs="Arial"/>
          <w:b/>
          <w:sz w:val="20"/>
          <w:szCs w:val="20"/>
          <w:lang w:eastAsia="es-ES"/>
        </w:rPr>
      </w:pPr>
    </w:p>
    <w:p w:rsidR="001805E6" w:rsidRPr="00E82C32" w:rsidRDefault="001805E6" w:rsidP="001805E6">
      <w:pPr>
        <w:numPr>
          <w:ilvl w:val="0"/>
          <w:numId w:val="1"/>
        </w:numPr>
        <w:spacing w:after="0" w:line="240" w:lineRule="auto"/>
        <w:contextualSpacing/>
        <w:jc w:val="both"/>
        <w:rPr>
          <w:rFonts w:ascii="Arial" w:eastAsia="Calibri" w:hAnsi="Arial" w:cs="Arial"/>
          <w:b/>
          <w:sz w:val="20"/>
          <w:szCs w:val="20"/>
          <w:lang w:val="x-none" w:eastAsia="es-ES"/>
        </w:rPr>
      </w:pPr>
      <w:r w:rsidRPr="00E82C32">
        <w:rPr>
          <w:rFonts w:ascii="Arial" w:eastAsia="Calibri" w:hAnsi="Arial" w:cs="Arial"/>
          <w:b/>
          <w:sz w:val="20"/>
          <w:szCs w:val="20"/>
          <w:lang w:val="x-none" w:eastAsia="es-ES"/>
        </w:rPr>
        <w:lastRenderedPageBreak/>
        <w:t xml:space="preserve">En aquellos casos en que el Área Requirente modifique la Especificación </w:t>
      </w:r>
      <w:r w:rsidRPr="00E82C32">
        <w:rPr>
          <w:rFonts w:ascii="Arial" w:eastAsia="Calibri" w:hAnsi="Arial" w:cs="Arial"/>
          <w:b/>
          <w:sz w:val="20"/>
          <w:szCs w:val="20"/>
          <w:lang w:eastAsia="es-ES"/>
        </w:rPr>
        <w:t>Técnica</w:t>
      </w:r>
      <w:r w:rsidRPr="00E82C32">
        <w:rPr>
          <w:rFonts w:ascii="Arial" w:eastAsia="Calibri" w:hAnsi="Arial" w:cs="Arial"/>
          <w:b/>
          <w:sz w:val="20"/>
          <w:szCs w:val="20"/>
          <w:lang w:val="x-none" w:eastAsia="es-ES"/>
        </w:rPr>
        <w:t xml:space="preserve"> de algún bien que no se encuentre regulado por el Cuadro Básico </w:t>
      </w:r>
      <w:r w:rsidRPr="00E82C32">
        <w:rPr>
          <w:rFonts w:ascii="Arial" w:eastAsia="Calibri" w:hAnsi="Arial" w:cs="Arial"/>
          <w:b/>
          <w:sz w:val="20"/>
          <w:szCs w:val="20"/>
          <w:lang w:eastAsia="es-ES"/>
        </w:rPr>
        <w:t>de Medicamentos del Instituto Mexicano del Seguro Social</w:t>
      </w:r>
      <w:r w:rsidRPr="00E82C32">
        <w:rPr>
          <w:rFonts w:ascii="Arial" w:eastAsia="Calibri" w:hAnsi="Arial" w:cs="Arial"/>
          <w:b/>
          <w:sz w:val="20"/>
          <w:szCs w:val="20"/>
          <w:lang w:val="x-none" w:eastAsia="es-ES"/>
        </w:rPr>
        <w:t>,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rsidR="001805E6" w:rsidRPr="00E82C32" w:rsidRDefault="001805E6" w:rsidP="001805E6">
      <w:pPr>
        <w:spacing w:after="0" w:line="240" w:lineRule="auto"/>
        <w:jc w:val="both"/>
        <w:rPr>
          <w:rFonts w:ascii="Arial" w:eastAsia="Calibri" w:hAnsi="Arial" w:cs="Arial"/>
          <w:sz w:val="20"/>
          <w:szCs w:val="20"/>
        </w:rPr>
      </w:pPr>
    </w:p>
    <w:p w:rsidR="001805E6" w:rsidRPr="00E82C32" w:rsidRDefault="001805E6" w:rsidP="001805E6">
      <w:pPr>
        <w:spacing w:after="0" w:line="240" w:lineRule="auto"/>
        <w:jc w:val="both"/>
        <w:rPr>
          <w:rFonts w:ascii="Arial" w:eastAsia="Calibri" w:hAnsi="Arial" w:cs="Arial"/>
          <w:sz w:val="20"/>
          <w:szCs w:val="20"/>
        </w:rPr>
      </w:pPr>
      <w:r w:rsidRPr="00E82C32">
        <w:rPr>
          <w:rFonts w:ascii="Arial" w:eastAsia="Calibri" w:hAnsi="Arial" w:cs="Arial"/>
          <w:sz w:val="20"/>
          <w:szCs w:val="20"/>
        </w:rPr>
        <w:t>No aplica</w:t>
      </w:r>
    </w:p>
    <w:p w:rsidR="001805E6" w:rsidRPr="00E82C32" w:rsidRDefault="001805E6" w:rsidP="001805E6">
      <w:pPr>
        <w:spacing w:after="0" w:line="240" w:lineRule="auto"/>
        <w:ind w:left="720" w:hanging="720"/>
        <w:jc w:val="both"/>
        <w:rPr>
          <w:rFonts w:ascii="Arial" w:eastAsia="Calibri" w:hAnsi="Arial" w:cs="Arial"/>
          <w:sz w:val="20"/>
          <w:szCs w:val="20"/>
        </w:rPr>
      </w:pPr>
    </w:p>
    <w:p w:rsidR="001805E6" w:rsidRPr="00E82C32" w:rsidRDefault="001805E6" w:rsidP="001805E6">
      <w:pPr>
        <w:numPr>
          <w:ilvl w:val="0"/>
          <w:numId w:val="1"/>
        </w:numPr>
        <w:spacing w:after="0" w:line="240" w:lineRule="auto"/>
        <w:contextualSpacing/>
        <w:jc w:val="both"/>
        <w:rPr>
          <w:rFonts w:ascii="Arial" w:eastAsia="Calibri" w:hAnsi="Arial" w:cs="Arial"/>
          <w:b/>
          <w:sz w:val="20"/>
          <w:szCs w:val="20"/>
          <w:lang w:val="x-none" w:eastAsia="es-ES"/>
        </w:rPr>
      </w:pPr>
      <w:r w:rsidRPr="00E82C32">
        <w:rPr>
          <w:rFonts w:ascii="Arial" w:eastAsia="Calibri" w:hAnsi="Arial" w:cs="Arial"/>
          <w:b/>
          <w:sz w:val="20"/>
          <w:szCs w:val="20"/>
          <w:lang w:val="x-none" w:eastAsia="es-ES"/>
        </w:rPr>
        <w:t>En aquellos casos en que el Área Requirente, modifique las especificaciones técnicas de un bien respecto de las estipuladas en el ejercicio anterior, y que derivado de la Investigación de Mercado el Área Contratante advierta que existan circunstancias que pudieran limitar la libre participación, concurrencia y competencia económica, dicha área solicitará al Área Requirente un dictamen técnico en el que se justifique que los requisitos contenidos en las especificaciones técnicas del bien, no limitan de ninguna forma la libre participación, concurrencia y competencia económica</w:t>
      </w:r>
    </w:p>
    <w:p w:rsidR="001805E6" w:rsidRPr="00E82C32" w:rsidRDefault="001805E6" w:rsidP="001805E6">
      <w:pPr>
        <w:spacing w:after="0" w:line="240" w:lineRule="auto"/>
        <w:jc w:val="both"/>
        <w:rPr>
          <w:rFonts w:ascii="Arial" w:eastAsia="Calibri" w:hAnsi="Arial" w:cs="Arial"/>
          <w:sz w:val="2"/>
          <w:szCs w:val="20"/>
        </w:rPr>
      </w:pPr>
    </w:p>
    <w:p w:rsidR="001805E6" w:rsidRPr="00E82C32" w:rsidRDefault="001805E6" w:rsidP="001805E6">
      <w:pPr>
        <w:spacing w:after="0" w:line="240" w:lineRule="auto"/>
        <w:jc w:val="both"/>
        <w:rPr>
          <w:rFonts w:ascii="Arial" w:eastAsia="Calibri" w:hAnsi="Arial" w:cs="Arial"/>
          <w:sz w:val="20"/>
          <w:szCs w:val="20"/>
        </w:rPr>
      </w:pPr>
      <w:r w:rsidRPr="00E82C32">
        <w:rPr>
          <w:rFonts w:ascii="Arial" w:eastAsia="Calibri" w:hAnsi="Arial" w:cs="Arial"/>
          <w:sz w:val="20"/>
          <w:szCs w:val="20"/>
        </w:rPr>
        <w:t>No aplica</w:t>
      </w:r>
    </w:p>
    <w:p w:rsidR="001805E6" w:rsidRPr="001805E6" w:rsidRDefault="001805E6" w:rsidP="001805E6">
      <w:pPr>
        <w:spacing w:after="0" w:line="240" w:lineRule="auto"/>
        <w:jc w:val="both"/>
        <w:rPr>
          <w:rFonts w:ascii="Arial" w:eastAsia="Calibri" w:hAnsi="Arial" w:cs="Arial"/>
          <w:sz w:val="20"/>
          <w:szCs w:val="20"/>
        </w:rPr>
      </w:pPr>
    </w:p>
    <w:p w:rsidR="00E82C32" w:rsidRDefault="00E82C32" w:rsidP="00E82C32">
      <w:pPr>
        <w:autoSpaceDE w:val="0"/>
        <w:autoSpaceDN w:val="0"/>
        <w:spacing w:after="0" w:line="240" w:lineRule="auto"/>
        <w:jc w:val="both"/>
        <w:rPr>
          <w:rFonts w:ascii="Arial" w:eastAsia="Calibri" w:hAnsi="Arial" w:cs="Arial"/>
          <w:color w:val="000000"/>
          <w:sz w:val="18"/>
          <w:szCs w:val="18"/>
        </w:rPr>
      </w:pPr>
    </w:p>
    <w:p w:rsidR="00205C7E" w:rsidRDefault="00205C7E" w:rsidP="00E82C32">
      <w:pPr>
        <w:autoSpaceDE w:val="0"/>
        <w:autoSpaceDN w:val="0"/>
        <w:spacing w:after="0" w:line="240" w:lineRule="auto"/>
        <w:jc w:val="both"/>
        <w:rPr>
          <w:rFonts w:ascii="Arial" w:eastAsia="Calibri" w:hAnsi="Arial" w:cs="Arial"/>
          <w:sz w:val="18"/>
          <w:szCs w:val="18"/>
        </w:rPr>
      </w:pPr>
      <w:r w:rsidRPr="005A7367">
        <w:rPr>
          <w:rFonts w:ascii="Arial" w:eastAsia="Calibri" w:hAnsi="Arial" w:cs="Arial"/>
          <w:color w:val="000000"/>
          <w:sz w:val="18"/>
          <w:szCs w:val="18"/>
        </w:rPr>
        <w:t xml:space="preserve">El presente documento se suscribe con fundamento en las facultades conferidas en el numeral 8.1.1.2, Coordinación de Control de Abasto, del Manual de Organización de la Dirección de Administración; y en su calidad de Área </w:t>
      </w:r>
      <w:proofErr w:type="spellStart"/>
      <w:r w:rsidRPr="005A7367">
        <w:rPr>
          <w:rFonts w:ascii="Arial" w:eastAsia="Calibri" w:hAnsi="Arial" w:cs="Arial"/>
          <w:color w:val="000000"/>
          <w:sz w:val="18"/>
          <w:szCs w:val="18"/>
        </w:rPr>
        <w:t>Consolidadora</w:t>
      </w:r>
      <w:proofErr w:type="spellEnd"/>
      <w:r w:rsidRPr="005A7367">
        <w:rPr>
          <w:rFonts w:ascii="Arial" w:eastAsia="Calibri" w:hAnsi="Arial" w:cs="Arial"/>
          <w:color w:val="000000"/>
          <w:sz w:val="18"/>
          <w:szCs w:val="18"/>
        </w:rPr>
        <w:t xml:space="preserve"> en apego a lo dispuesto en las Políticas, Bases y Lineamientos en Materia de Adquisiciones, Arrendamientos y Prestación de Servicios del Instituto Mexicano del Seguro Social, conforme al requerimiento envi</w:t>
      </w:r>
      <w:r>
        <w:rPr>
          <w:rFonts w:ascii="Arial" w:eastAsia="Calibri" w:hAnsi="Arial" w:cs="Arial"/>
          <w:color w:val="000000"/>
          <w:sz w:val="18"/>
          <w:szCs w:val="18"/>
        </w:rPr>
        <w:t>ado por las Delegaciones y UMAE´S</w:t>
      </w:r>
      <w:r w:rsidRPr="005A7367">
        <w:rPr>
          <w:rFonts w:ascii="Arial" w:eastAsia="Calibri" w:hAnsi="Arial" w:cs="Arial"/>
          <w:color w:val="000000"/>
          <w:sz w:val="18"/>
          <w:szCs w:val="18"/>
        </w:rPr>
        <w:t xml:space="preserve"> del Instituto Mexicano del Seguro Social y, en el </w:t>
      </w:r>
      <w:r w:rsidRPr="005A7367">
        <w:rPr>
          <w:rFonts w:ascii="Arial" w:eastAsia="Calibri" w:hAnsi="Arial" w:cs="Arial"/>
          <w:sz w:val="18"/>
          <w:szCs w:val="18"/>
        </w:rPr>
        <w:t>caso de las dependencias y entidades requirentes se actúa como área integradora de los requerimientos.</w:t>
      </w:r>
    </w:p>
    <w:p w:rsidR="00E82C32" w:rsidRPr="005A7367" w:rsidRDefault="00E82C32" w:rsidP="00E82C32">
      <w:pPr>
        <w:autoSpaceDE w:val="0"/>
        <w:autoSpaceDN w:val="0"/>
        <w:spacing w:after="0" w:line="240" w:lineRule="auto"/>
        <w:jc w:val="both"/>
        <w:rPr>
          <w:rFonts w:ascii="Arial" w:eastAsia="Calibri" w:hAnsi="Arial" w:cs="Arial"/>
          <w:sz w:val="18"/>
          <w:szCs w:val="18"/>
        </w:rPr>
      </w:pPr>
    </w:p>
    <w:p w:rsidR="00205C7E" w:rsidRDefault="00205C7E" w:rsidP="00E82C32">
      <w:pPr>
        <w:autoSpaceDE w:val="0"/>
        <w:autoSpaceDN w:val="0"/>
        <w:spacing w:after="0" w:line="240" w:lineRule="auto"/>
        <w:ind w:left="708" w:right="474"/>
        <w:jc w:val="both"/>
        <w:rPr>
          <w:rFonts w:ascii="Arial" w:eastAsia="Calibri" w:hAnsi="Arial" w:cs="Arial"/>
          <w:i/>
          <w:iCs/>
          <w:color w:val="000000"/>
          <w:sz w:val="18"/>
          <w:szCs w:val="18"/>
        </w:rPr>
      </w:pPr>
      <w:r w:rsidRPr="005A7367">
        <w:rPr>
          <w:rFonts w:ascii="Arial" w:eastAsia="Calibri" w:hAnsi="Arial" w:cs="Arial"/>
          <w:i/>
          <w:iCs/>
          <w:color w:val="000000"/>
          <w:sz w:val="18"/>
          <w:szCs w:val="18"/>
        </w:rPr>
        <w:t xml:space="preserve"> “Es la responsable de integrar, concentrar y revisar las necesidades del Área Requirente, así como reunir los dictámenes de disponibilidad presupuestaria y las especificaciones técnicas, para que, en representación de todas las Áreas Requirentes, realice el envío del expediente al Área Contratante.”</w:t>
      </w:r>
    </w:p>
    <w:p w:rsidR="009E331C" w:rsidRDefault="009E331C" w:rsidP="00E82C32">
      <w:pPr>
        <w:autoSpaceDE w:val="0"/>
        <w:autoSpaceDN w:val="0"/>
        <w:spacing w:after="0" w:line="240" w:lineRule="auto"/>
        <w:ind w:left="708" w:right="474"/>
        <w:jc w:val="both"/>
        <w:rPr>
          <w:rFonts w:ascii="Arial" w:eastAsia="Calibri" w:hAnsi="Arial" w:cs="Arial"/>
          <w:i/>
          <w:iCs/>
          <w:color w:val="000000"/>
          <w:sz w:val="18"/>
          <w:szCs w:val="18"/>
        </w:rPr>
      </w:pPr>
    </w:p>
    <w:p w:rsidR="00E82C32" w:rsidRDefault="00E82C32" w:rsidP="00E82C32">
      <w:pPr>
        <w:autoSpaceDE w:val="0"/>
        <w:autoSpaceDN w:val="0"/>
        <w:spacing w:after="0" w:line="240" w:lineRule="auto"/>
        <w:ind w:left="708" w:right="474"/>
        <w:jc w:val="both"/>
        <w:rPr>
          <w:rFonts w:ascii="Arial" w:eastAsia="Calibri" w:hAnsi="Arial" w:cs="Arial"/>
          <w:i/>
          <w:iCs/>
          <w:color w:val="000000"/>
          <w:sz w:val="18"/>
          <w:szCs w:val="18"/>
        </w:rPr>
      </w:pPr>
    </w:p>
    <w:p w:rsidR="00E82C32" w:rsidRDefault="00E82C32" w:rsidP="00E82C32">
      <w:pPr>
        <w:autoSpaceDE w:val="0"/>
        <w:autoSpaceDN w:val="0"/>
        <w:spacing w:after="0" w:line="240" w:lineRule="auto"/>
        <w:ind w:left="708" w:right="474"/>
        <w:jc w:val="both"/>
        <w:rPr>
          <w:rFonts w:ascii="Arial" w:eastAsia="Calibri" w:hAnsi="Arial" w:cs="Arial"/>
          <w:i/>
          <w:iCs/>
          <w:color w:val="000000"/>
          <w:sz w:val="18"/>
          <w:szCs w:val="18"/>
        </w:rPr>
      </w:pPr>
    </w:p>
    <w:p w:rsidR="00E82C32" w:rsidRPr="005A7367" w:rsidRDefault="00E82C32" w:rsidP="00E82C32">
      <w:pPr>
        <w:autoSpaceDE w:val="0"/>
        <w:autoSpaceDN w:val="0"/>
        <w:spacing w:after="0" w:line="240" w:lineRule="auto"/>
        <w:ind w:left="708" w:right="474"/>
        <w:jc w:val="both"/>
        <w:rPr>
          <w:rFonts w:ascii="Arial" w:eastAsia="Calibri" w:hAnsi="Arial" w:cs="Arial"/>
          <w:i/>
          <w:iCs/>
          <w:color w:val="000000"/>
          <w:sz w:val="18"/>
          <w:szCs w:val="18"/>
        </w:rPr>
      </w:pPr>
    </w:p>
    <w:p w:rsidR="00205C7E" w:rsidRPr="005A7367" w:rsidRDefault="00205C7E" w:rsidP="00E82C32">
      <w:pPr>
        <w:autoSpaceDE w:val="0"/>
        <w:autoSpaceDN w:val="0"/>
        <w:adjustRightInd w:val="0"/>
        <w:spacing w:after="0" w:line="240" w:lineRule="auto"/>
        <w:jc w:val="center"/>
        <w:rPr>
          <w:rFonts w:ascii="Arial" w:eastAsia="Calibri" w:hAnsi="Arial" w:cs="Arial"/>
          <w:sz w:val="18"/>
        </w:rPr>
      </w:pPr>
    </w:p>
    <w:tbl>
      <w:tblPr>
        <w:tblW w:w="0" w:type="auto"/>
        <w:jc w:val="center"/>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134"/>
        <w:gridCol w:w="3769"/>
      </w:tblGrid>
      <w:tr w:rsidR="00205C7E" w:rsidRPr="005A7367" w:rsidTr="00F142B1">
        <w:trPr>
          <w:jc w:val="center"/>
        </w:trPr>
        <w:tc>
          <w:tcPr>
            <w:tcW w:w="3686" w:type="dxa"/>
            <w:tcBorders>
              <w:top w:val="single" w:sz="4" w:space="0" w:color="auto"/>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María del Pilar Buerba Gómez</w:t>
            </w:r>
          </w:p>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 xml:space="preserve">Titular de la Coordinación de Control de Abasto </w:t>
            </w:r>
          </w:p>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3769" w:type="dxa"/>
            <w:tcBorders>
              <w:top w:val="single" w:sz="4" w:space="0" w:color="auto"/>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Gabriel Barreto Olmos</w:t>
            </w:r>
          </w:p>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Titular de la Coordinación Técnica de Planeación</w:t>
            </w:r>
          </w:p>
        </w:tc>
      </w:tr>
      <w:tr w:rsidR="00205C7E" w:rsidRPr="005A7367" w:rsidTr="00F142B1">
        <w:trPr>
          <w:jc w:val="center"/>
        </w:trPr>
        <w:tc>
          <w:tcPr>
            <w:tcW w:w="3686"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Valida</w:t>
            </w:r>
          </w:p>
        </w:tc>
        <w:tc>
          <w:tcPr>
            <w:tcW w:w="1134"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Autoriza</w:t>
            </w:r>
          </w:p>
        </w:tc>
      </w:tr>
      <w:tr w:rsidR="00205C7E" w:rsidRPr="005A7367" w:rsidTr="00F142B1">
        <w:trPr>
          <w:jc w:val="center"/>
        </w:trPr>
        <w:tc>
          <w:tcPr>
            <w:tcW w:w="3686"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r>
      <w:tr w:rsidR="00205C7E" w:rsidRPr="005A7367" w:rsidTr="00F142B1">
        <w:trPr>
          <w:jc w:val="center"/>
        </w:trPr>
        <w:tc>
          <w:tcPr>
            <w:tcW w:w="3686"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r>
      <w:tr w:rsidR="00205C7E" w:rsidRPr="005A7367" w:rsidTr="00F142B1">
        <w:trPr>
          <w:trHeight w:val="80"/>
          <w:jc w:val="center"/>
        </w:trPr>
        <w:tc>
          <w:tcPr>
            <w:tcW w:w="8589" w:type="dxa"/>
            <w:gridSpan w:val="3"/>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_____________________________</w:t>
            </w:r>
          </w:p>
        </w:tc>
      </w:tr>
      <w:tr w:rsidR="00205C7E" w:rsidRPr="005A7367" w:rsidTr="00F142B1">
        <w:trPr>
          <w:jc w:val="center"/>
        </w:trPr>
        <w:tc>
          <w:tcPr>
            <w:tcW w:w="8589" w:type="dxa"/>
            <w:gridSpan w:val="3"/>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Ana Laura Montes de Oca Choreño</w:t>
            </w:r>
          </w:p>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Titular de la División de Planeación de Bienes Terapéuticos</w:t>
            </w:r>
          </w:p>
        </w:tc>
      </w:tr>
      <w:tr w:rsidR="00205C7E" w:rsidRPr="005A7367" w:rsidTr="00F142B1">
        <w:trPr>
          <w:jc w:val="center"/>
        </w:trPr>
        <w:tc>
          <w:tcPr>
            <w:tcW w:w="8589" w:type="dxa"/>
            <w:gridSpan w:val="3"/>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Revisa</w:t>
            </w:r>
          </w:p>
        </w:tc>
      </w:tr>
    </w:tbl>
    <w:p w:rsidR="00205C7E" w:rsidRPr="005A7367" w:rsidRDefault="00205C7E" w:rsidP="00205C7E">
      <w:pPr>
        <w:spacing w:after="0" w:line="240" w:lineRule="auto"/>
        <w:jc w:val="both"/>
        <w:rPr>
          <w:rFonts w:ascii="Arial" w:eastAsia="Calibri" w:hAnsi="Arial" w:cs="Arial"/>
          <w:sz w:val="16"/>
          <w:szCs w:val="20"/>
        </w:rPr>
      </w:pPr>
    </w:p>
    <w:p w:rsidR="001805E6" w:rsidRPr="001805E6" w:rsidRDefault="001805E6" w:rsidP="001805E6"/>
    <w:p w:rsidR="00E34CC7" w:rsidRDefault="00E34CC7"/>
    <w:sectPr w:rsidR="00E34CC7" w:rsidSect="00B6514B">
      <w:headerReference w:type="even" r:id="rId8"/>
      <w:headerReference w:type="default" r:id="rId9"/>
      <w:footerReference w:type="default" r:id="rId10"/>
      <w:headerReference w:type="first" r:id="rId11"/>
      <w:pgSz w:w="12240" w:h="15840" w:code="1"/>
      <w:pgMar w:top="1237" w:right="1134" w:bottom="567" w:left="1134" w:header="709" w:footer="4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643" w:rsidRDefault="00015643">
      <w:pPr>
        <w:spacing w:after="0" w:line="240" w:lineRule="auto"/>
      </w:pPr>
      <w:r>
        <w:separator/>
      </w:r>
    </w:p>
  </w:endnote>
  <w:endnote w:type="continuationSeparator" w:id="0">
    <w:p w:rsidR="00015643" w:rsidRDefault="00015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2B1" w:rsidRPr="00D96185" w:rsidRDefault="00F142B1" w:rsidP="00B6514B">
    <w:pPr>
      <w:pStyle w:val="Piedepgina"/>
      <w:jc w:val="center"/>
      <w:rPr>
        <w:rFonts w:cstheme="minorHAnsi"/>
      </w:rPr>
    </w:pPr>
    <w:r w:rsidRPr="00D96185">
      <w:rPr>
        <w:rFonts w:cstheme="minorHAnsi"/>
        <w:sz w:val="16"/>
        <w:szCs w:val="16"/>
      </w:rPr>
      <w:fldChar w:fldCharType="begin"/>
    </w:r>
    <w:r w:rsidRPr="00D96185">
      <w:rPr>
        <w:rFonts w:cstheme="minorHAnsi"/>
        <w:sz w:val="16"/>
        <w:szCs w:val="16"/>
      </w:rPr>
      <w:instrText>PAGE   \* MERGEFORMAT</w:instrText>
    </w:r>
    <w:r w:rsidRPr="00D96185">
      <w:rPr>
        <w:rFonts w:cstheme="minorHAnsi"/>
        <w:sz w:val="16"/>
        <w:szCs w:val="16"/>
      </w:rPr>
      <w:fldChar w:fldCharType="separate"/>
    </w:r>
    <w:r w:rsidR="003151C1" w:rsidRPr="003151C1">
      <w:rPr>
        <w:rFonts w:cstheme="minorHAnsi"/>
        <w:noProof/>
        <w:sz w:val="16"/>
        <w:szCs w:val="16"/>
        <w:lang w:val="es-ES"/>
      </w:rPr>
      <w:t>1</w:t>
    </w:r>
    <w:r w:rsidRPr="00D96185">
      <w:rPr>
        <w:rFonts w:cstheme="minorHAnsi"/>
        <w:sz w:val="16"/>
        <w:szCs w:val="16"/>
      </w:rPr>
      <w:fldChar w:fldCharType="end"/>
    </w:r>
    <w:r w:rsidRPr="00D96185">
      <w:rPr>
        <w:rFonts w:cstheme="minorHAnsi"/>
        <w:sz w:val="16"/>
        <w:szCs w:val="16"/>
      </w:rPr>
      <w:t>/Anexo Técnico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643" w:rsidRDefault="00015643">
      <w:pPr>
        <w:spacing w:after="0" w:line="240" w:lineRule="auto"/>
      </w:pPr>
      <w:r>
        <w:separator/>
      </w:r>
    </w:p>
  </w:footnote>
  <w:footnote w:type="continuationSeparator" w:id="0">
    <w:p w:rsidR="00015643" w:rsidRDefault="000156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2B1" w:rsidRDefault="0001564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2049" type="#_x0000_t75" style="position:absolute;margin-left:0;margin-top:0;width:498.3pt;height:461.35pt;z-index:-251654144;mso-position-horizontal:center;mso-position-horizontal-relative:margin;mso-position-vertical:center;mso-position-vertical-relative:margin" o:allowincell="f">
          <v:imagedata r:id="rId1" o:title="IMS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2B1" w:rsidRDefault="00F142B1" w:rsidP="00B6514B">
    <w:pPr>
      <w:pStyle w:val="Encabezado"/>
    </w:pPr>
    <w:r>
      <w:rPr>
        <w:noProof/>
        <w:lang w:eastAsia="es-MX"/>
      </w:rPr>
      <mc:AlternateContent>
        <mc:Choice Requires="wps">
          <w:drawing>
            <wp:anchor distT="0" distB="0" distL="114300" distR="114300" simplePos="0" relativeHeight="251661312" behindDoc="1" locked="0" layoutInCell="1" allowOverlap="1" wp14:anchorId="2DDACAAD" wp14:editId="3D9E26F7">
              <wp:simplePos x="0" y="0"/>
              <wp:positionH relativeFrom="column">
                <wp:posOffset>1514475</wp:posOffset>
              </wp:positionH>
              <wp:positionV relativeFrom="paragraph">
                <wp:posOffset>-107315</wp:posOffset>
              </wp:positionV>
              <wp:extent cx="4333875" cy="695325"/>
              <wp:effectExtent l="9525" t="6985" r="9525" b="1206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695325"/>
                      </a:xfrm>
                      <a:prstGeom prst="rect">
                        <a:avLst/>
                      </a:prstGeom>
                      <a:solidFill>
                        <a:srgbClr val="FFFFFF"/>
                      </a:solidFill>
                      <a:ln w="9525">
                        <a:solidFill>
                          <a:srgbClr val="FFFFFF"/>
                        </a:solidFill>
                        <a:miter lim="800000"/>
                        <a:headEnd/>
                        <a:tailEnd/>
                      </a:ln>
                    </wps:spPr>
                    <wps:txbx>
                      <w:txbxContent>
                        <w:p w:rsidR="00F142B1" w:rsidRPr="00D5325A" w:rsidRDefault="00F142B1" w:rsidP="00B6514B">
                          <w:pPr>
                            <w:spacing w:after="0" w:line="240" w:lineRule="auto"/>
                            <w:rPr>
                              <w:rFonts w:ascii="Palatino Linotype" w:hAnsi="Palatino Linotype"/>
                              <w:b/>
                              <w:color w:val="000000"/>
                              <w:sz w:val="18"/>
                              <w:szCs w:val="18"/>
                            </w:rPr>
                          </w:pPr>
                        </w:p>
                        <w:p w:rsidR="00F142B1" w:rsidRPr="00D5325A" w:rsidRDefault="00F142B1" w:rsidP="00B6514B">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F142B1" w:rsidRPr="00D5325A" w:rsidRDefault="00F142B1" w:rsidP="00B6514B">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F142B1" w:rsidRPr="00D5325A" w:rsidRDefault="00F142B1" w:rsidP="00B6514B">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F142B1" w:rsidRPr="00D5325A" w:rsidRDefault="00F142B1" w:rsidP="00B6514B">
                          <w:pPr>
                            <w:rPr>
                              <w:rFonts w:ascii="Palatino Linotype" w:hAnsi="Palatino Linotype"/>
                              <w:b/>
                              <w:color w:val="00000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119.25pt;margin-top:-8.45pt;width:341.25pt;height:5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p9KQIAAFcEAAAOAAAAZHJzL2Uyb0RvYy54bWysVNtu2zAMfR+wfxD0vjrXNjHqFF26DgO6&#10;C9DtA2hJjoXJoiYpsbuvLyWnbba9FfODQIrUIXlI+vJq6Aw7KB802opPzyacKStQarur+I/vt+9W&#10;nIUIVoJBqyr+oAK/2rx9c9m7Us2wRSOVZwRiQ9m7ircxurIogmhVB+EMnbJkbNB3EEn1u0J66Am9&#10;M8VsMjkvevTSeRQqBLq9GY18k/GbRon4tWmCisxUnHKL+fT5rNNZbC6h3HlwrRbHNOAVWXSgLQV9&#10;hrqBCGzv9T9QnRYeAzbxTGBXYNNooXINVM108lc19y04lWshcoJ7pin8P1jx5fDNMy0rPufMQkct&#10;2u5BemRSsaiGiGyeSOpdKMn33pF3HN7jQM3OBQd3h+JnYBa3LdiduvYe+1aBpCSn6WVx8nTECQmk&#10;7j+jpGiwj5iBhsZ3iUHihBE6NevhuUGUBxN0uZjP56uLJWeCbOfr5Xy2zCGgfHrtfIgfFXYsCRX3&#10;NAAZHQ53IaZsoHxyScECGi1vtTFZ8bt6azw7AA3Lbf6O6H+4Gcv6iq+XFPu1EJ2ONPVGdxVfTdKX&#10;4kCZaPtgZZYjaDPKlLKxRx4TdSOJcagHckzk1igfiFGP43TTNpLQov/NWU+TXfHwaw9ecWY+WerK&#10;erpYpFXIymJ5MSPFn1rqUwtYQVAVj5yN4jaO67N3Xu9aijTOgcVr6mSjM8kvWR3zpunN3B83La3H&#10;qZ69Xv4Hm0cAAAD//wMAUEsDBBQABgAIAAAAIQDy44s+3wAAAAoBAAAPAAAAZHJzL2Rvd25yZXYu&#10;eG1sTI/BbsIwDIbvk/YOkZF2mSBtp1XQNUUIbdoZtstuoTFtReO0TaBlTz9zGjdb/vT7+/P1ZFtx&#10;wcE3jhTEiwgEUulMQ5WC76+P+RKED5qMbh2hgit6WBePD7nOjBtph5d9qASHkM+0gjqELpPSlzVa&#10;7ReuQ+Lb0Q1WB16HSppBjxxuW5lEUSqtbog/1LrDbY3laX+2Ctz4frUO+yh5/vm1n9tNvzsmvVJP&#10;s2nzBiLgFP5huOmzOhTsdHBnMl60CpKX5SujCuZxugLBxCqJud3hNqQgi1zeVyj+AAAA//8DAFBL&#10;AQItABQABgAIAAAAIQC2gziS/gAAAOEBAAATAAAAAAAAAAAAAAAAAAAAAABbQ29udGVudF9UeXBl&#10;c10ueG1sUEsBAi0AFAAGAAgAAAAhADj9If/WAAAAlAEAAAsAAAAAAAAAAAAAAAAALwEAAF9yZWxz&#10;Ly5yZWxzUEsBAi0AFAAGAAgAAAAhADO5qn0pAgAAVwQAAA4AAAAAAAAAAAAAAAAALgIAAGRycy9l&#10;Mm9Eb2MueG1sUEsBAi0AFAAGAAgAAAAhAPLjiz7fAAAACgEAAA8AAAAAAAAAAAAAAAAAgwQAAGRy&#10;cy9kb3ducmV2LnhtbFBLBQYAAAAABAAEAPMAAACPBQAAAAA=&#10;" strokecolor="white">
              <v:textbox>
                <w:txbxContent>
                  <w:p w:rsidR="00F142B1" w:rsidRPr="00D5325A" w:rsidRDefault="00F142B1" w:rsidP="00B6514B">
                    <w:pPr>
                      <w:spacing w:after="0" w:line="240" w:lineRule="auto"/>
                      <w:rPr>
                        <w:rFonts w:ascii="Palatino Linotype" w:hAnsi="Palatino Linotype"/>
                        <w:b/>
                        <w:color w:val="000000"/>
                        <w:sz w:val="18"/>
                        <w:szCs w:val="18"/>
                      </w:rPr>
                    </w:pPr>
                  </w:p>
                  <w:p w:rsidR="00F142B1" w:rsidRPr="00D5325A" w:rsidRDefault="00F142B1" w:rsidP="00B6514B">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F142B1" w:rsidRPr="00D5325A" w:rsidRDefault="00F142B1" w:rsidP="00B6514B">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F142B1" w:rsidRPr="00D5325A" w:rsidRDefault="00F142B1" w:rsidP="00B6514B">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F142B1" w:rsidRPr="00D5325A" w:rsidRDefault="00F142B1" w:rsidP="00B6514B">
                    <w:pPr>
                      <w:rPr>
                        <w:rFonts w:ascii="Palatino Linotype" w:hAnsi="Palatino Linotype"/>
                        <w:b/>
                        <w:color w:val="000000"/>
                        <w:sz w:val="18"/>
                        <w:szCs w:val="18"/>
                      </w:rPr>
                    </w:pPr>
                  </w:p>
                </w:txbxContent>
              </v:textbox>
            </v:shape>
          </w:pict>
        </mc:Fallback>
      </mc:AlternateContent>
    </w:r>
    <w:r>
      <w:rPr>
        <w:noProof/>
        <w:lang w:eastAsia="es-MX"/>
      </w:rPr>
      <w:drawing>
        <wp:anchor distT="0" distB="0" distL="114300" distR="114300" simplePos="0" relativeHeight="251660288" behindDoc="0" locked="0" layoutInCell="1" allowOverlap="1" wp14:anchorId="77499C95" wp14:editId="5E08EB93">
          <wp:simplePos x="0" y="0"/>
          <wp:positionH relativeFrom="column">
            <wp:posOffset>5803900</wp:posOffset>
          </wp:positionH>
          <wp:positionV relativeFrom="paragraph">
            <wp:posOffset>-22860</wp:posOffset>
          </wp:positionV>
          <wp:extent cx="581660" cy="715645"/>
          <wp:effectExtent l="0" t="0" r="8890" b="825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59264" behindDoc="0" locked="0" layoutInCell="1" allowOverlap="1" wp14:anchorId="17425260" wp14:editId="665EFCE5">
          <wp:simplePos x="0" y="0"/>
          <wp:positionH relativeFrom="column">
            <wp:posOffset>-92710</wp:posOffset>
          </wp:positionH>
          <wp:positionV relativeFrom="paragraph">
            <wp:posOffset>23495</wp:posOffset>
          </wp:positionV>
          <wp:extent cx="2077085" cy="669290"/>
          <wp:effectExtent l="0" t="0" r="0" b="0"/>
          <wp:wrapNone/>
          <wp:docPr id="2" name="Imagen 2" descr="LOGO MEX 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 MEX HORI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085"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42B1" w:rsidRDefault="00F142B1" w:rsidP="00B6514B">
    <w:pPr>
      <w:pStyle w:val="Encabezado"/>
    </w:pPr>
  </w:p>
  <w:p w:rsidR="00F142B1" w:rsidRDefault="00F142B1" w:rsidP="00B6514B">
    <w:pPr>
      <w:pStyle w:val="Encabezado"/>
    </w:pPr>
  </w:p>
  <w:p w:rsidR="00F142B1" w:rsidRDefault="00F142B1" w:rsidP="00B6514B">
    <w:pPr>
      <w:pStyle w:val="Encabezado"/>
    </w:pPr>
  </w:p>
  <w:p w:rsidR="00F142B1" w:rsidRDefault="00F142B1" w:rsidP="00B6514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2B1" w:rsidRDefault="0001564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2050" type="#_x0000_t75" style="position:absolute;margin-left:0;margin-top:0;width:498.3pt;height:461.35pt;z-index:-251653120;mso-position-horizontal:center;mso-position-horizontal-relative:margin;mso-position-vertical:center;mso-position-vertical-relative:margin" o:allowincell="f">
          <v:imagedata r:id="rId1" o:title="IMS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65C2C"/>
    <w:multiLevelType w:val="hybridMultilevel"/>
    <w:tmpl w:val="16E22620"/>
    <w:lvl w:ilvl="0" w:tplc="9934D3C0">
      <w:start w:val="1"/>
      <w:numFmt w:val="lowerLetter"/>
      <w:lvlText w:val="%1)"/>
      <w:lvlJc w:val="left"/>
      <w:pPr>
        <w:ind w:left="1778" w:hanging="360"/>
      </w:pPr>
      <w:rPr>
        <w:rFonts w:hint="default"/>
      </w:rPr>
    </w:lvl>
    <w:lvl w:ilvl="1" w:tplc="080A0019">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1">
    <w:nsid w:val="19D8295E"/>
    <w:multiLevelType w:val="hybridMultilevel"/>
    <w:tmpl w:val="E74A8738"/>
    <w:lvl w:ilvl="0" w:tplc="28021BEA">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nsid w:val="24313172"/>
    <w:multiLevelType w:val="hybridMultilevel"/>
    <w:tmpl w:val="455078D6"/>
    <w:lvl w:ilvl="0" w:tplc="080A0017">
      <w:start w:val="1"/>
      <w:numFmt w:val="lowerLetter"/>
      <w:lvlText w:val="%1)"/>
      <w:lvlJc w:val="left"/>
      <w:pPr>
        <w:ind w:left="1800" w:hanging="360"/>
      </w:pPr>
      <w:rPr>
        <w:rFont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
    <w:nsid w:val="32540729"/>
    <w:multiLevelType w:val="hybridMultilevel"/>
    <w:tmpl w:val="B4DE3986"/>
    <w:lvl w:ilvl="0" w:tplc="080A0001">
      <w:start w:val="1"/>
      <w:numFmt w:val="bullet"/>
      <w:lvlText w:val=""/>
      <w:lvlJc w:val="left"/>
      <w:pPr>
        <w:ind w:left="2520" w:hanging="360"/>
      </w:pPr>
      <w:rPr>
        <w:rFonts w:ascii="Symbol" w:hAnsi="Symbol" w:hint="default"/>
      </w:rPr>
    </w:lvl>
    <w:lvl w:ilvl="1" w:tplc="080A0003" w:tentative="1">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4">
    <w:nsid w:val="359977E4"/>
    <w:multiLevelType w:val="hybridMultilevel"/>
    <w:tmpl w:val="FE30016C"/>
    <w:lvl w:ilvl="0" w:tplc="EBC2148E">
      <w:start w:val="5"/>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97504A8"/>
    <w:multiLevelType w:val="hybridMultilevel"/>
    <w:tmpl w:val="1E32DD80"/>
    <w:lvl w:ilvl="0" w:tplc="39306DA2">
      <w:start w:val="1"/>
      <w:numFmt w:val="lowerLetter"/>
      <w:lvlText w:val="%1)"/>
      <w:lvlJc w:val="left"/>
      <w:pPr>
        <w:ind w:left="720" w:hanging="360"/>
      </w:pPr>
      <w:rPr>
        <w:sz w:val="22"/>
        <w:szCs w:val="22"/>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nsid w:val="3F58534C"/>
    <w:multiLevelType w:val="hybridMultilevel"/>
    <w:tmpl w:val="C1CE9D44"/>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7">
    <w:nsid w:val="47B54144"/>
    <w:multiLevelType w:val="hybridMultilevel"/>
    <w:tmpl w:val="93A214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C702D8E"/>
    <w:multiLevelType w:val="hybridMultilevel"/>
    <w:tmpl w:val="432658EA"/>
    <w:lvl w:ilvl="0" w:tplc="7EE45E1E">
      <w:start w:val="5"/>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6093A57"/>
    <w:multiLevelType w:val="hybridMultilevel"/>
    <w:tmpl w:val="7F8E0EAE"/>
    <w:lvl w:ilvl="0" w:tplc="8FEE3DDC">
      <w:start w:val="1"/>
      <w:numFmt w:val="upperRoman"/>
      <w:lvlText w:val="%1."/>
      <w:lvlJc w:val="left"/>
      <w:pPr>
        <w:ind w:left="1080" w:hanging="72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2"/>
  </w:num>
  <w:num w:numId="5">
    <w:abstractNumId w:val="6"/>
  </w:num>
  <w:num w:numId="6">
    <w:abstractNumId w:val="0"/>
  </w:num>
  <w:num w:numId="7">
    <w:abstractNumId w:val="1"/>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5E6"/>
    <w:rsid w:val="00015643"/>
    <w:rsid w:val="000D391F"/>
    <w:rsid w:val="001444CC"/>
    <w:rsid w:val="001804DF"/>
    <w:rsid w:val="001805E6"/>
    <w:rsid w:val="001D076D"/>
    <w:rsid w:val="001E6968"/>
    <w:rsid w:val="00205C7E"/>
    <w:rsid w:val="002178EE"/>
    <w:rsid w:val="00245757"/>
    <w:rsid w:val="003151C1"/>
    <w:rsid w:val="00383663"/>
    <w:rsid w:val="003E5EA2"/>
    <w:rsid w:val="0042538D"/>
    <w:rsid w:val="004534DC"/>
    <w:rsid w:val="0048148E"/>
    <w:rsid w:val="00585A9D"/>
    <w:rsid w:val="00631D39"/>
    <w:rsid w:val="00735763"/>
    <w:rsid w:val="00753ED7"/>
    <w:rsid w:val="008A4F52"/>
    <w:rsid w:val="008F7848"/>
    <w:rsid w:val="00923D8C"/>
    <w:rsid w:val="009A2BD9"/>
    <w:rsid w:val="009E331C"/>
    <w:rsid w:val="00B6514B"/>
    <w:rsid w:val="00B65A21"/>
    <w:rsid w:val="00BC20EE"/>
    <w:rsid w:val="00C335F7"/>
    <w:rsid w:val="00CA499B"/>
    <w:rsid w:val="00CF5FCA"/>
    <w:rsid w:val="00E34CC7"/>
    <w:rsid w:val="00E82C32"/>
    <w:rsid w:val="00EC1E64"/>
    <w:rsid w:val="00F142B1"/>
    <w:rsid w:val="00F572C8"/>
    <w:rsid w:val="00FC3F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05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05E6"/>
  </w:style>
  <w:style w:type="paragraph" w:styleId="Piedepgina">
    <w:name w:val="footer"/>
    <w:basedOn w:val="Normal"/>
    <w:link w:val="PiedepginaCar"/>
    <w:uiPriority w:val="99"/>
    <w:unhideWhenUsed/>
    <w:rsid w:val="001805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05E6"/>
  </w:style>
  <w:style w:type="table" w:styleId="Tablaconcuadrcula">
    <w:name w:val="Table Grid"/>
    <w:basedOn w:val="Tablanormal"/>
    <w:uiPriority w:val="59"/>
    <w:rsid w:val="00180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
    <w:basedOn w:val="Normal"/>
    <w:link w:val="PrrafodelistaCar"/>
    <w:uiPriority w:val="34"/>
    <w:qFormat/>
    <w:rsid w:val="00735763"/>
    <w:pPr>
      <w:ind w:left="720"/>
      <w:contextualSpacing/>
    </w:p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rsid w:val="00735763"/>
  </w:style>
  <w:style w:type="paragraph" w:styleId="Textodeglobo">
    <w:name w:val="Balloon Text"/>
    <w:basedOn w:val="Normal"/>
    <w:link w:val="TextodegloboCar"/>
    <w:uiPriority w:val="99"/>
    <w:semiHidden/>
    <w:unhideWhenUsed/>
    <w:rsid w:val="007357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5763"/>
    <w:rPr>
      <w:rFonts w:ascii="Tahoma" w:hAnsi="Tahoma" w:cs="Tahoma"/>
      <w:sz w:val="16"/>
      <w:szCs w:val="16"/>
    </w:rPr>
  </w:style>
  <w:style w:type="character" w:styleId="Refdecomentario">
    <w:name w:val="annotation reference"/>
    <w:basedOn w:val="Fuentedeprrafopredeter"/>
    <w:uiPriority w:val="99"/>
    <w:semiHidden/>
    <w:unhideWhenUsed/>
    <w:rsid w:val="00735763"/>
    <w:rPr>
      <w:sz w:val="16"/>
      <w:szCs w:val="16"/>
    </w:rPr>
  </w:style>
  <w:style w:type="paragraph" w:styleId="Textocomentario">
    <w:name w:val="annotation text"/>
    <w:basedOn w:val="Normal"/>
    <w:link w:val="TextocomentarioCar"/>
    <w:uiPriority w:val="99"/>
    <w:semiHidden/>
    <w:unhideWhenUsed/>
    <w:rsid w:val="0073576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35763"/>
    <w:rPr>
      <w:sz w:val="20"/>
      <w:szCs w:val="20"/>
    </w:rPr>
  </w:style>
  <w:style w:type="paragraph" w:styleId="Asuntodelcomentario">
    <w:name w:val="annotation subject"/>
    <w:basedOn w:val="Textocomentario"/>
    <w:next w:val="Textocomentario"/>
    <w:link w:val="AsuntodelcomentarioCar"/>
    <w:uiPriority w:val="99"/>
    <w:semiHidden/>
    <w:unhideWhenUsed/>
    <w:rsid w:val="00735763"/>
    <w:rPr>
      <w:b/>
      <w:bCs/>
    </w:rPr>
  </w:style>
  <w:style w:type="character" w:customStyle="1" w:styleId="AsuntodelcomentarioCar">
    <w:name w:val="Asunto del comentario Car"/>
    <w:basedOn w:val="TextocomentarioCar"/>
    <w:link w:val="Asuntodelcomentario"/>
    <w:uiPriority w:val="99"/>
    <w:semiHidden/>
    <w:rsid w:val="00735763"/>
    <w:rPr>
      <w:b/>
      <w:bCs/>
      <w:sz w:val="20"/>
      <w:szCs w:val="20"/>
    </w:rPr>
  </w:style>
  <w:style w:type="paragraph" w:styleId="NormalWeb">
    <w:name w:val="Normal (Web)"/>
    <w:basedOn w:val="Normal"/>
    <w:uiPriority w:val="99"/>
    <w:semiHidden/>
    <w:unhideWhenUsed/>
    <w:rsid w:val="0073576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735763"/>
    <w:rPr>
      <w:color w:val="0000FF" w:themeColor="hyperlink"/>
      <w:u w:val="single"/>
    </w:rPr>
  </w:style>
  <w:style w:type="numbering" w:customStyle="1" w:styleId="Sinlista1">
    <w:name w:val="Sin lista1"/>
    <w:next w:val="Sinlista"/>
    <w:uiPriority w:val="99"/>
    <w:semiHidden/>
    <w:unhideWhenUsed/>
    <w:rsid w:val="00383663"/>
  </w:style>
  <w:style w:type="character" w:styleId="Hipervnculovisitado">
    <w:name w:val="FollowedHyperlink"/>
    <w:basedOn w:val="Fuentedeprrafopredeter"/>
    <w:uiPriority w:val="99"/>
    <w:semiHidden/>
    <w:unhideWhenUsed/>
    <w:rsid w:val="00383663"/>
    <w:rPr>
      <w:color w:val="800080"/>
      <w:u w:val="single"/>
    </w:rPr>
  </w:style>
  <w:style w:type="paragraph" w:customStyle="1" w:styleId="xl39717">
    <w:name w:val="xl39717"/>
    <w:basedOn w:val="Normal"/>
    <w:rsid w:val="0038366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18">
    <w:name w:val="xl39718"/>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19">
    <w:name w:val="xl39719"/>
    <w:basedOn w:val="Normal"/>
    <w:rsid w:val="0038366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0">
    <w:name w:val="xl39720"/>
    <w:basedOn w:val="Normal"/>
    <w:rsid w:val="0038366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39721">
    <w:name w:val="xl39721"/>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3">
    <w:name w:val="xl39723"/>
    <w:basedOn w:val="Normal"/>
    <w:rsid w:val="00383663"/>
    <w:pPr>
      <w:pBdr>
        <w:top w:val="single" w:sz="4" w:space="0" w:color="FFFFFF"/>
        <w:lef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4">
    <w:name w:val="xl39724"/>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5">
    <w:name w:val="xl39725"/>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6">
    <w:name w:val="xl39726"/>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7">
    <w:name w:val="xl39727"/>
    <w:basedOn w:val="Normal"/>
    <w:rsid w:val="0038366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8">
    <w:name w:val="xl39728"/>
    <w:basedOn w:val="Normal"/>
    <w:rsid w:val="0038366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9">
    <w:name w:val="xl39729"/>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0">
    <w:name w:val="xl39730"/>
    <w:basedOn w:val="Normal"/>
    <w:rsid w:val="00383663"/>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1">
    <w:name w:val="xl39731"/>
    <w:basedOn w:val="Normal"/>
    <w:rsid w:val="00383663"/>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2">
    <w:name w:val="xl39732"/>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3">
    <w:name w:val="xl39733"/>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35">
    <w:name w:val="xl39735"/>
    <w:basedOn w:val="Normal"/>
    <w:rsid w:val="00383663"/>
    <w:pPr>
      <w:pBdr>
        <w:top w:val="single" w:sz="4" w:space="0" w:color="FFFFFF"/>
        <w:lef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05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05E6"/>
  </w:style>
  <w:style w:type="paragraph" w:styleId="Piedepgina">
    <w:name w:val="footer"/>
    <w:basedOn w:val="Normal"/>
    <w:link w:val="PiedepginaCar"/>
    <w:uiPriority w:val="99"/>
    <w:unhideWhenUsed/>
    <w:rsid w:val="001805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05E6"/>
  </w:style>
  <w:style w:type="table" w:styleId="Tablaconcuadrcula">
    <w:name w:val="Table Grid"/>
    <w:basedOn w:val="Tablanormal"/>
    <w:uiPriority w:val="59"/>
    <w:rsid w:val="00180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
    <w:basedOn w:val="Normal"/>
    <w:link w:val="PrrafodelistaCar"/>
    <w:uiPriority w:val="34"/>
    <w:qFormat/>
    <w:rsid w:val="00735763"/>
    <w:pPr>
      <w:ind w:left="720"/>
      <w:contextualSpacing/>
    </w:p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rsid w:val="00735763"/>
  </w:style>
  <w:style w:type="paragraph" w:styleId="Textodeglobo">
    <w:name w:val="Balloon Text"/>
    <w:basedOn w:val="Normal"/>
    <w:link w:val="TextodegloboCar"/>
    <w:uiPriority w:val="99"/>
    <w:semiHidden/>
    <w:unhideWhenUsed/>
    <w:rsid w:val="007357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5763"/>
    <w:rPr>
      <w:rFonts w:ascii="Tahoma" w:hAnsi="Tahoma" w:cs="Tahoma"/>
      <w:sz w:val="16"/>
      <w:szCs w:val="16"/>
    </w:rPr>
  </w:style>
  <w:style w:type="character" w:styleId="Refdecomentario">
    <w:name w:val="annotation reference"/>
    <w:basedOn w:val="Fuentedeprrafopredeter"/>
    <w:uiPriority w:val="99"/>
    <w:semiHidden/>
    <w:unhideWhenUsed/>
    <w:rsid w:val="00735763"/>
    <w:rPr>
      <w:sz w:val="16"/>
      <w:szCs w:val="16"/>
    </w:rPr>
  </w:style>
  <w:style w:type="paragraph" w:styleId="Textocomentario">
    <w:name w:val="annotation text"/>
    <w:basedOn w:val="Normal"/>
    <w:link w:val="TextocomentarioCar"/>
    <w:uiPriority w:val="99"/>
    <w:semiHidden/>
    <w:unhideWhenUsed/>
    <w:rsid w:val="0073576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35763"/>
    <w:rPr>
      <w:sz w:val="20"/>
      <w:szCs w:val="20"/>
    </w:rPr>
  </w:style>
  <w:style w:type="paragraph" w:styleId="Asuntodelcomentario">
    <w:name w:val="annotation subject"/>
    <w:basedOn w:val="Textocomentario"/>
    <w:next w:val="Textocomentario"/>
    <w:link w:val="AsuntodelcomentarioCar"/>
    <w:uiPriority w:val="99"/>
    <w:semiHidden/>
    <w:unhideWhenUsed/>
    <w:rsid w:val="00735763"/>
    <w:rPr>
      <w:b/>
      <w:bCs/>
    </w:rPr>
  </w:style>
  <w:style w:type="character" w:customStyle="1" w:styleId="AsuntodelcomentarioCar">
    <w:name w:val="Asunto del comentario Car"/>
    <w:basedOn w:val="TextocomentarioCar"/>
    <w:link w:val="Asuntodelcomentario"/>
    <w:uiPriority w:val="99"/>
    <w:semiHidden/>
    <w:rsid w:val="00735763"/>
    <w:rPr>
      <w:b/>
      <w:bCs/>
      <w:sz w:val="20"/>
      <w:szCs w:val="20"/>
    </w:rPr>
  </w:style>
  <w:style w:type="paragraph" w:styleId="NormalWeb">
    <w:name w:val="Normal (Web)"/>
    <w:basedOn w:val="Normal"/>
    <w:uiPriority w:val="99"/>
    <w:semiHidden/>
    <w:unhideWhenUsed/>
    <w:rsid w:val="0073576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735763"/>
    <w:rPr>
      <w:color w:val="0000FF" w:themeColor="hyperlink"/>
      <w:u w:val="single"/>
    </w:rPr>
  </w:style>
  <w:style w:type="numbering" w:customStyle="1" w:styleId="Sinlista1">
    <w:name w:val="Sin lista1"/>
    <w:next w:val="Sinlista"/>
    <w:uiPriority w:val="99"/>
    <w:semiHidden/>
    <w:unhideWhenUsed/>
    <w:rsid w:val="00383663"/>
  </w:style>
  <w:style w:type="character" w:styleId="Hipervnculovisitado">
    <w:name w:val="FollowedHyperlink"/>
    <w:basedOn w:val="Fuentedeprrafopredeter"/>
    <w:uiPriority w:val="99"/>
    <w:semiHidden/>
    <w:unhideWhenUsed/>
    <w:rsid w:val="00383663"/>
    <w:rPr>
      <w:color w:val="800080"/>
      <w:u w:val="single"/>
    </w:rPr>
  </w:style>
  <w:style w:type="paragraph" w:customStyle="1" w:styleId="xl39717">
    <w:name w:val="xl39717"/>
    <w:basedOn w:val="Normal"/>
    <w:rsid w:val="0038366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18">
    <w:name w:val="xl39718"/>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19">
    <w:name w:val="xl39719"/>
    <w:basedOn w:val="Normal"/>
    <w:rsid w:val="0038366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0">
    <w:name w:val="xl39720"/>
    <w:basedOn w:val="Normal"/>
    <w:rsid w:val="0038366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39721">
    <w:name w:val="xl39721"/>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3">
    <w:name w:val="xl39723"/>
    <w:basedOn w:val="Normal"/>
    <w:rsid w:val="00383663"/>
    <w:pPr>
      <w:pBdr>
        <w:top w:val="single" w:sz="4" w:space="0" w:color="FFFFFF"/>
        <w:lef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4">
    <w:name w:val="xl39724"/>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5">
    <w:name w:val="xl39725"/>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6">
    <w:name w:val="xl39726"/>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7">
    <w:name w:val="xl39727"/>
    <w:basedOn w:val="Normal"/>
    <w:rsid w:val="0038366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8">
    <w:name w:val="xl39728"/>
    <w:basedOn w:val="Normal"/>
    <w:rsid w:val="0038366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9">
    <w:name w:val="xl39729"/>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0">
    <w:name w:val="xl39730"/>
    <w:basedOn w:val="Normal"/>
    <w:rsid w:val="00383663"/>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1">
    <w:name w:val="xl39731"/>
    <w:basedOn w:val="Normal"/>
    <w:rsid w:val="00383663"/>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2">
    <w:name w:val="xl39732"/>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3">
    <w:name w:val="xl39733"/>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35">
    <w:name w:val="xl39735"/>
    <w:basedOn w:val="Normal"/>
    <w:rsid w:val="00383663"/>
    <w:pPr>
      <w:pBdr>
        <w:top w:val="single" w:sz="4" w:space="0" w:color="FFFFFF"/>
        <w:lef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5755">
      <w:bodyDiv w:val="1"/>
      <w:marLeft w:val="0"/>
      <w:marRight w:val="0"/>
      <w:marTop w:val="0"/>
      <w:marBottom w:val="0"/>
      <w:divBdr>
        <w:top w:val="none" w:sz="0" w:space="0" w:color="auto"/>
        <w:left w:val="none" w:sz="0" w:space="0" w:color="auto"/>
        <w:bottom w:val="none" w:sz="0" w:space="0" w:color="auto"/>
        <w:right w:val="none" w:sz="0" w:space="0" w:color="auto"/>
      </w:divBdr>
    </w:div>
    <w:div w:id="1023288669">
      <w:bodyDiv w:val="1"/>
      <w:marLeft w:val="0"/>
      <w:marRight w:val="0"/>
      <w:marTop w:val="0"/>
      <w:marBottom w:val="0"/>
      <w:divBdr>
        <w:top w:val="none" w:sz="0" w:space="0" w:color="auto"/>
        <w:left w:val="none" w:sz="0" w:space="0" w:color="auto"/>
        <w:bottom w:val="none" w:sz="0" w:space="0" w:color="auto"/>
        <w:right w:val="none" w:sz="0" w:space="0" w:color="auto"/>
      </w:divBdr>
    </w:div>
    <w:div w:id="194330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933</Words>
  <Characters>5136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 Hernández Monter</dc:creator>
  <cp:lastModifiedBy>Mireya Hernández Monter</cp:lastModifiedBy>
  <cp:revision>3</cp:revision>
  <cp:lastPrinted>2017-10-18T15:02:00Z</cp:lastPrinted>
  <dcterms:created xsi:type="dcterms:W3CDTF">2017-10-24T01:26:00Z</dcterms:created>
  <dcterms:modified xsi:type="dcterms:W3CDTF">2017-10-24T01:51:00Z</dcterms:modified>
</cp:coreProperties>
</file>